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60" w:lineRule="exact"/>
        <w:ind w:firstLine="560"/>
        <w:rPr>
          <w:color w:val="auto"/>
          <w:highlight w:val="none"/>
        </w:rPr>
      </w:pPr>
    </w:p>
    <w:p>
      <w:pPr>
        <w:spacing w:line="560" w:lineRule="exact"/>
        <w:ind w:firstLine="0" w:firstLineChars="0"/>
        <w:jc w:val="center"/>
        <w:rPr>
          <w:rFonts w:ascii="Times New Roman" w:eastAsia="黑体" w:hAnsi="Times New Roman" w:cs="Times New Roman"/>
          <w:b/>
          <w:color w:val="auto"/>
          <w:kern w:val="0"/>
          <w:sz w:val="50"/>
          <w:szCs w:val="50"/>
          <w:highlight w:val="none"/>
          <w:lang w:bidi="en-US"/>
        </w:rPr>
      </w:pPr>
    </w:p>
    <w:p>
      <w:pPr>
        <w:spacing w:line="560" w:lineRule="exact"/>
        <w:ind w:firstLine="0" w:firstLineChars="0"/>
        <w:jc w:val="center"/>
        <w:rPr>
          <w:rFonts w:ascii="Times New Roman" w:eastAsia="黑体" w:hAnsi="Times New Roman" w:cs="Times New Roman"/>
          <w:b/>
          <w:color w:val="auto"/>
          <w:kern w:val="0"/>
          <w:sz w:val="50"/>
          <w:szCs w:val="50"/>
          <w:highlight w:val="none"/>
          <w:lang w:bidi="en-US"/>
        </w:rPr>
      </w:pPr>
    </w:p>
    <w:p>
      <w:pPr>
        <w:pStyle w:val="_Style1"/>
        <w:spacing w:line="560" w:lineRule="exact"/>
        <w:rPr>
          <w:color w:val="auto"/>
          <w:highlight w:val="none"/>
        </w:rPr>
      </w:pPr>
    </w:p>
    <w:p>
      <w:pPr>
        <w:pStyle w:val="_Style1"/>
        <w:spacing w:line="560" w:lineRule="exact"/>
        <w:rPr>
          <w:color w:val="auto"/>
          <w:highlight w:val="none"/>
        </w:rPr>
      </w:pPr>
    </w:p>
    <w:p>
      <w:pPr>
        <w:pStyle w:val="闻政-正文段落文字"/>
        <w:spacing w:line="560" w:lineRule="exact"/>
        <w:ind w:firstLine="0" w:firstLineChars="0"/>
        <w:jc w:val="center"/>
        <w:rPr>
          <w:rFonts w:ascii="仿宋_GB2312" w:hAnsi="Arial"/>
          <w:b/>
          <w:color w:val="auto"/>
          <w:szCs w:val="44"/>
          <w:highlight w:val="none"/>
        </w:rPr>
      </w:pPr>
      <w:bookmarkStart w:id="0" w:name="_Toc4267"/>
      <w:bookmarkStart w:id="1" w:name="_Toc10470"/>
      <w:r>
        <w:rPr>
          <w:rFonts w:hint="eastAsia"/>
          <w:b/>
          <w:bCs/>
          <w:color w:val="auto"/>
          <w:sz w:val="44"/>
          <w:szCs w:val="44"/>
          <w:highlight w:val="none"/>
        </w:rPr>
        <w:t xml:space="preserve">部门单位项目支出绩效评价报告</w:t>
      </w:r>
      <w:bookmarkEnd w:id="0"/>
      <w:bookmarkEnd w:id="1"/>
    </w:p>
    <w:p>
      <w:pPr>
        <w:spacing w:line="560" w:lineRule="exact"/>
        <w:ind w:firstLine="0" w:firstLineChars="0"/>
        <w:jc w:val="center"/>
        <w:rPr>
          <w:rFonts w:ascii="Times New Roman" w:eastAsia="黑体" w:hAnsi="Times New Roman" w:cs="Times New Roman"/>
          <w:b/>
          <w:color w:val="auto"/>
          <w:kern w:val="0"/>
          <w:sz w:val="50"/>
          <w:szCs w:val="50"/>
          <w:highlight w:val="none"/>
          <w:lang w:bidi="en-US"/>
        </w:rPr>
      </w:pPr>
    </w:p>
    <w:p>
      <w:pPr>
        <w:spacing w:line="560" w:lineRule="exact"/>
        <w:ind w:firstLine="0" w:firstLineChars="0"/>
        <w:jc w:val="center"/>
        <w:rPr>
          <w:rFonts w:ascii="仿宋" w:eastAsia="仿宋" w:hAnsi="仿宋" w:cs="仿宋" w:hint="eastAsia"/>
          <w:b/>
          <w:color w:val="auto"/>
          <w:kern w:val="0"/>
          <w:szCs w:val="28"/>
          <w:highlight w:val="none"/>
          <w:lang w:bidi="en-US"/>
        </w:rPr>
      </w:pPr>
      <w:r>
        <w:rPr>
          <w:rFonts w:ascii="仿宋" w:eastAsia="仿宋" w:hAnsi="仿宋" w:cs="仿宋" w:hint="eastAsia"/>
          <w:b/>
          <w:color w:val="auto"/>
          <w:kern w:val="0"/>
          <w:szCs w:val="28"/>
          <w:highlight w:val="none"/>
          <w:lang w:bidi="en-US"/>
        </w:rPr>
        <w:t xml:space="preserve">（2024年度）</w:t>
      </w:r>
    </w:p>
    <w:p>
      <w:pPr>
        <w:spacing w:line="560" w:lineRule="exact"/>
        <w:ind w:firstLine="0" w:firstLineChars="0"/>
        <w:jc w:val="center"/>
        <w:rPr>
          <w:rFonts w:ascii="Times New Roman" w:eastAsia="黑体" w:hAnsi="Times New Roman" w:cs="Times New Roman"/>
          <w:b/>
          <w:color w:val="auto"/>
          <w:kern w:val="0"/>
          <w:sz w:val="50"/>
          <w:szCs w:val="50"/>
          <w:highlight w:val="none"/>
          <w:lang w:bidi="en-US"/>
        </w:rPr>
      </w:pPr>
    </w:p>
    <w:p>
      <w:pPr>
        <w:spacing w:line="560" w:lineRule="exact"/>
        <w:ind w:firstLine="0" w:firstLineChars="0"/>
        <w:jc w:val="center"/>
        <w:rPr>
          <w:rFonts w:ascii="Times New Roman" w:eastAsia="黑体" w:hAnsi="Times New Roman" w:cs="Times New Roman"/>
          <w:b/>
          <w:color w:val="auto"/>
          <w:kern w:val="0"/>
          <w:sz w:val="50"/>
          <w:szCs w:val="50"/>
          <w:highlight w:val="none"/>
          <w:lang w:bidi="en-US"/>
        </w:rPr>
      </w:pPr>
    </w:p>
    <w:p>
      <w:pPr>
        <w:pStyle w:val="_Style1"/>
        <w:spacing w:line="560" w:lineRule="exact"/>
        <w:rPr>
          <w:rFonts w:ascii="Times New Roman" w:eastAsia="黑体" w:hAnsi="Times New Roman"/>
          <w:b/>
          <w:color w:val="auto"/>
          <w:kern w:val="0"/>
          <w:sz w:val="50"/>
          <w:szCs w:val="50"/>
          <w:highlight w:val="none"/>
          <w:lang w:bidi="en-US"/>
        </w:rPr>
      </w:pPr>
    </w:p>
    <w:p>
      <w:pPr>
        <w:pStyle w:val="_Style1"/>
        <w:spacing w:line="560" w:lineRule="exact"/>
        <w:rPr>
          <w:rFonts w:ascii="Times New Roman" w:eastAsia="黑体" w:hAnsi="Times New Roman"/>
          <w:b/>
          <w:color w:val="auto"/>
          <w:kern w:val="0"/>
          <w:sz w:val="50"/>
          <w:szCs w:val="50"/>
          <w:highlight w:val="none"/>
          <w:lang w:bidi="en-US"/>
        </w:rPr>
      </w:pPr>
    </w:p>
    <w:p>
      <w:pPr>
        <w:pStyle w:val="_Style1"/>
        <w:spacing w:line="560" w:lineRule="exact"/>
        <w:rPr>
          <w:rFonts w:ascii="Times New Roman" w:eastAsia="黑体" w:hAnsi="Times New Roman"/>
          <w:b/>
          <w:color w:val="auto"/>
          <w:kern w:val="0"/>
          <w:sz w:val="50"/>
          <w:szCs w:val="50"/>
          <w:highlight w:val="none"/>
          <w:lang w:bidi="en-US"/>
        </w:rPr>
      </w:pPr>
    </w:p>
    <w:p>
      <w:pPr>
        <w:pStyle w:val="_Style1"/>
        <w:spacing w:line="560" w:lineRule="exact"/>
        <w:rPr>
          <w:rFonts w:ascii="Times New Roman" w:eastAsia="黑体" w:hAnsi="Times New Roman"/>
          <w:b/>
          <w:color w:val="auto"/>
          <w:kern w:val="0"/>
          <w:sz w:val="50"/>
          <w:szCs w:val="50"/>
          <w:highlight w:val="none"/>
          <w:lang w:bidi="en-US"/>
        </w:rPr>
      </w:pPr>
    </w:p>
    <w:p>
      <w:pPr>
        <w:spacing w:after="0" w:line="560" w:lineRule="exact"/>
        <w:ind w:left="2533" w:hanging="1693" w:leftChars="300" w:hangingChars="529"/>
        <w:jc w:val="left"/>
        <w:rPr>
          <w:rFonts w:ascii="仿宋_GB2312" w:hAnsi="Times New Roman" w:cs="Times New Roman"/>
          <w:color w:val="auto"/>
          <w:kern w:val="0"/>
          <w:sz w:val="32"/>
          <w:szCs w:val="32"/>
          <w:highlight w:val="none"/>
          <w:lang w:bidi="en-US"/>
        </w:rPr>
      </w:pPr>
      <w:r>
        <w:rPr>
          <w:rFonts w:ascii="仿宋_GB2312" w:hAnsi="Times New Roman" w:cs="Times New Roman" w:hint="eastAsia"/>
          <w:color w:val="auto"/>
          <w:kern w:val="0"/>
          <w:sz w:val="32"/>
          <w:szCs w:val="32"/>
          <w:highlight w:val="none"/>
          <w:lang w:bidi="en-US"/>
        </w:rPr>
        <w:t xml:space="preserve">项目名称：</w:t>
      </w:r>
      <w:r>
        <w:rPr>
          <w:rFonts w:ascii="仿宋_GB2312" w:hAnsi="Times New Roman" w:cs="Times New Roman" w:hint="eastAsia"/>
          <w:color w:val="auto"/>
          <w:kern w:val="0"/>
          <w:sz w:val="32"/>
          <w:szCs w:val="32"/>
          <w:highlight w:val="none"/>
          <w:lang w:bidi="en-US"/>
        </w:rPr>
        <w:t xml:space="preserve">城乡义务教育补助经费项目（公用经费）</w:t>
      </w:r>
    </w:p>
    <w:p>
      <w:pPr>
        <w:spacing w:after="0" w:line="560" w:lineRule="exact"/>
        <w:ind w:left="2875" w:hanging="2035" w:leftChars="300" w:hangingChars="636"/>
        <w:jc w:val="left"/>
        <w:rPr>
          <w:rFonts w:ascii="仿宋_GB2312" w:hAnsi="Times New Roman" w:cs="Times New Roman"/>
          <w:color w:val="auto"/>
          <w:kern w:val="0"/>
          <w:sz w:val="32"/>
          <w:szCs w:val="32"/>
          <w:highlight w:val="none"/>
          <w:lang w:bidi="en-US"/>
        </w:rPr>
      </w:pPr>
      <w:r>
        <w:rPr>
          <w:rFonts w:ascii="仿宋_GB2312" w:hAnsi="Times New Roman" w:cs="Times New Roman" w:hint="eastAsia"/>
          <w:color w:val="auto"/>
          <w:kern w:val="0"/>
          <w:sz w:val="32"/>
          <w:szCs w:val="32"/>
          <w:highlight w:val="none"/>
          <w:lang w:bidi="en-US"/>
        </w:rPr>
        <w:t xml:space="preserve">项目单位：</w:t>
      </w:r>
      <w:r>
        <w:rPr>
          <w:rFonts w:ascii="仿宋_GB2312" w:hAnsi="Times New Roman" w:cs="Times New Roman" w:hint="eastAsia"/>
          <w:color w:val="auto"/>
          <w:kern w:val="0"/>
          <w:sz w:val="32"/>
          <w:szCs w:val="32"/>
          <w:highlight w:val="none"/>
          <w:lang w:bidi="en-US"/>
        </w:rPr>
        <w:t xml:space="preserve">岳普湖县教育局</w:t>
      </w:r>
    </w:p>
    <w:p>
      <w:pPr>
        <w:spacing w:after="0" w:line="560" w:lineRule="exact"/>
        <w:ind w:left="2875" w:hanging="2035" w:leftChars="300" w:hangingChars="636"/>
        <w:jc w:val="left"/>
        <w:rPr>
          <w:rFonts w:ascii="仿宋_GB2312" w:hAnsi="Times New Roman" w:cs="Times New Roman"/>
          <w:color w:val="auto"/>
          <w:kern w:val="0"/>
          <w:sz w:val="32"/>
          <w:szCs w:val="32"/>
          <w:highlight w:val="none"/>
          <w:lang w:bidi="en-US"/>
        </w:rPr>
      </w:pPr>
      <w:r>
        <w:rPr>
          <w:rFonts w:ascii="仿宋_GB2312" w:hAnsi="Times New Roman" w:cs="Times New Roman" w:hint="eastAsia"/>
          <w:color w:val="auto"/>
          <w:kern w:val="0"/>
          <w:sz w:val="32"/>
          <w:szCs w:val="32"/>
          <w:highlight w:val="none"/>
          <w:lang w:bidi="en-US"/>
        </w:rPr>
        <w:t xml:space="preserve">主管部门：</w:t>
      </w:r>
      <w:r>
        <w:rPr>
          <w:rFonts w:ascii="仿宋_GB2312" w:hAnsi="Times New Roman" w:cs="Times New Roman" w:hint="eastAsia"/>
          <w:color w:val="auto"/>
          <w:kern w:val="0"/>
          <w:sz w:val="32"/>
          <w:szCs w:val="32"/>
          <w:highlight w:val="none"/>
          <w:lang w:bidi="en-US"/>
        </w:rPr>
        <w:t xml:space="preserve">岳普湖县教育局</w:t>
      </w:r>
    </w:p>
    <w:p>
      <w:pPr>
        <w:spacing w:after="0" w:line="560" w:lineRule="exact"/>
        <w:ind w:left="2875" w:hanging="2035" w:leftChars="300" w:hangingChars="636"/>
        <w:jc w:val="left"/>
        <w:rPr>
          <w:rFonts w:ascii="仿宋_GB2312" w:hAnsi="Times New Roman" w:cs="Times New Roman"/>
          <w:color w:val="auto"/>
          <w:kern w:val="0"/>
          <w:sz w:val="32"/>
          <w:szCs w:val="32"/>
          <w:highlight w:val="none"/>
          <w:lang w:bidi="en-US"/>
        </w:rPr>
      </w:pPr>
      <w:r>
        <w:rPr>
          <w:rFonts w:ascii="仿宋_GB2312" w:hAnsi="Times New Roman" w:cs="Times New Roman" w:hint="eastAsia"/>
          <w:color w:val="auto"/>
          <w:kern w:val="0"/>
          <w:sz w:val="32"/>
          <w:szCs w:val="32"/>
          <w:highlight w:val="none"/>
          <w:lang w:bidi="en-US"/>
        </w:rPr>
        <w:t xml:space="preserve">项目负责人：</w:t>
      </w:r>
      <w:r>
        <w:rPr>
          <w:rFonts w:ascii="仿宋_GB2312" w:hAnsi="Times New Roman" w:cs="Times New Roman" w:hint="eastAsia"/>
          <w:color w:val="auto"/>
          <w:kern w:val="0"/>
          <w:sz w:val="32"/>
          <w:szCs w:val="32"/>
          <w:highlight w:val="none"/>
          <w:lang w:bidi="en-US"/>
        </w:rPr>
        <w:t xml:space="preserve">吾斯曼·库都斯</w:t>
      </w:r>
    </w:p>
    <w:p>
      <w:pPr>
        <w:spacing w:after="0" w:line="560" w:lineRule="exact"/>
        <w:ind w:left="2875" w:hanging="2035" w:leftChars="300" w:hangingChars="636"/>
        <w:jc w:val="left"/>
        <w:rPr>
          <w:rFonts w:ascii="仿宋_GB2312" w:hAnsi="Times New Roman" w:cs="Times New Roman"/>
          <w:color w:val="auto"/>
          <w:kern w:val="0"/>
          <w:sz w:val="32"/>
          <w:szCs w:val="32"/>
          <w:highlight w:val="none"/>
          <w:lang w:bidi="en-US"/>
        </w:rPr>
      </w:pPr>
      <w:r>
        <w:rPr>
          <w:rFonts w:ascii="仿宋_GB2312" w:hAnsi="Times New Roman" w:cs="Times New Roman" w:hint="eastAsia"/>
          <w:color w:val="auto"/>
          <w:kern w:val="0"/>
          <w:sz w:val="32"/>
          <w:szCs w:val="32"/>
          <w:highlight w:val="none"/>
          <w:lang w:bidi="en-US"/>
        </w:rPr>
        <w:t xml:space="preserve">填报时间：</w:t>
      </w:r>
      <w:r>
        <w:rPr>
          <w:rFonts w:ascii="仿宋_GB2312" w:hAnsi="Times New Roman" w:cs="Times New Roman" w:hint="eastAsia"/>
          <w:color w:val="auto"/>
          <w:kern w:val="0"/>
          <w:sz w:val="32"/>
          <w:szCs w:val="32"/>
          <w:highlight w:val="none"/>
          <w:lang w:bidi="en-US"/>
        </w:rPr>
        <w:t xml:space="preserve">2025年2月21日</w:t>
      </w:r>
    </w:p>
    <w:p>
      <w:pPr>
        <w:spacing w:line="560" w:lineRule="exact"/>
        <w:ind w:firstLine="0" w:firstLineChars="0"/>
        <w:rPr>
          <w:color w:val="auto"/>
          <w:szCs w:val="44"/>
          <w:highlight w:val="none"/>
        </w:rPr>
      </w:pPr>
      <w:r>
        <w:br w:type="page"/>
      </w:r>
    </w:p>
    <w:p>
      <w:pPr>
        <w:pStyle w:val="闻政-正文一级标题"/>
        <w:keepNext w:val="0"/>
        <w:keepLines w:val="0"/>
        <w:spacing w:line="560" w:lineRule="exact"/>
        <w:ind w:firstLine="640" w:firstLineChars="200"/>
        <w:jc w:val="both"/>
        <w:rPr>
          <w:rFonts w:hint="eastAsia"/>
          <w:color w:val="auto"/>
          <w:highlight w:val="none"/>
        </w:rPr>
        <w:sectPr>
          <w:headerReference w:type="even" r:id="rId4"/>
          <w:headerReference w:type="default" r:id="rId5"/>
          <w:headerReference w:type="first" r:id="rId6"/>
          <w:footerReference w:type="even" r:id="rId7"/>
          <w:footerReference w:type="default" r:id="rId8"/>
          <w:footerReference w:type="first" r:id="rId9"/>
          <w:pgSz w:w="11906" w:h="16838" w:orient="portrait"/>
          <w:pgMar w:top="1440" w:right="1800" w:bottom="1440" w:left="1800" w:header="851" w:footer="992" w:gutter="0"/>
          <w:pgBorders/>
          <w:pgNumType w:fmt="numberInDash" w:start="1"/>
          <w:cols w:num="1" w:space="720">
            <w:col w:w="8306" w:space="720"/>
          </w:cols>
          <w:docGrid w:type="lines" w:linePitch="312" w:charSpace="0"/>
        </w:sectPr>
      </w:pPr>
      <w:bookmarkStart w:id="2" w:name="_Toc22132_WPSOffice_Level1"/>
      <w:bookmarkStart w:id="3" w:name="_Toc17858_WPSOffice_Level1"/>
      <w:bookmarkStart w:id="4" w:name="_Toc14304"/>
      <w:bookmarkStart w:id="5" w:name="_Toc11547"/>
      <w:bookmarkStart w:id="6" w:name="_Toc32254_WPSOffice_Level1"/>
      <w:bookmarkStart w:id="7" w:name="_Toc127054583"/>
      <w:bookmarkStart w:id="8" w:name="_Toc17118"/>
      <w:bookmarkStart w:id="9" w:name="_GoBack"/>
      <w:bookmarkEnd w:id="9"/>
    </w:p>
    <w:p>
      <w:pPr>
        <w:pStyle w:val="闻政-正文一级标题"/>
        <w:keepNext w:val="0"/>
        <w:keepLines w:val="0"/>
        <w:spacing w:line="520" w:lineRule="exact"/>
        <w:ind w:firstLine="640" w:firstLineChars="200"/>
        <w:jc w:val="both"/>
        <w:rPr>
          <w:rFonts w:hint="eastAsia"/>
          <w:color w:val="auto"/>
          <w:highlight w:val="none"/>
        </w:rPr>
      </w:pPr>
      <w:r>
        <w:rPr>
          <w:rFonts w:hint="eastAsia"/>
          <w:color w:val="auto"/>
          <w:highlight w:val="none"/>
        </w:rPr>
        <w:t xml:space="preserve">一、基本情况</w:t>
      </w:r>
      <w:bookmarkEnd w:id="2"/>
      <w:bookmarkEnd w:id="3"/>
      <w:bookmarkEnd w:id="4"/>
      <w:bookmarkEnd w:id="5"/>
      <w:bookmarkEnd w:id="6"/>
      <w:bookmarkEnd w:id="7"/>
      <w:bookmarkEnd w:id="8"/>
    </w:p>
    <w:p>
      <w:pPr>
        <w:pStyle w:val="闻政-正文二级标题"/>
        <w:keepNext w:val="0"/>
        <w:keepLines w:val="0"/>
        <w:spacing w:line="520" w:lineRule="exact"/>
        <w:ind w:left="560"/>
        <w:jc w:val="both"/>
        <w:rPr>
          <w:color w:val="auto"/>
          <w:highlight w:val="none"/>
        </w:rPr>
      </w:pPr>
      <w:bookmarkStart w:id="10" w:name="_Toc31410"/>
      <w:bookmarkStart w:id="11" w:name="_Toc17504"/>
      <w:bookmarkStart w:id="12" w:name="_Toc5769"/>
      <w:bookmarkStart w:id="13" w:name="_Toc6398"/>
      <w:bookmarkStart w:id="14" w:name="_Toc17283"/>
      <w:bookmarkStart w:id="15" w:name="_Toc24286"/>
      <w:bookmarkStart w:id="16" w:name="_Toc32174_WPSOffice_Level2"/>
      <w:bookmarkStart w:id="17" w:name="_Toc127054584"/>
      <w:bookmarkStart w:id="18" w:name="_Toc1545_WPSOffice_Level2"/>
      <w:bookmarkStart w:id="19" w:name="_Toc12560_WPSOffice_Level2"/>
      <w:r>
        <w:rPr>
          <w:rFonts w:hint="eastAsia"/>
          <w:color w:val="auto"/>
          <w:highlight w:val="none"/>
        </w:rPr>
        <w:t xml:space="preserve">（一）项目概况</w:t>
      </w:r>
      <w:bookmarkEnd w:id="10"/>
      <w:bookmarkEnd w:id="11"/>
      <w:bookmarkEnd w:id="12"/>
      <w:bookmarkEnd w:id="13"/>
      <w:bookmarkEnd w:id="14"/>
      <w:bookmarkEnd w:id="15"/>
      <w:bookmarkEnd w:id="16"/>
      <w:bookmarkEnd w:id="17"/>
      <w:bookmarkEnd w:id="18"/>
      <w:bookmarkEnd w:id="19"/>
    </w:p>
    <w:p>
      <w:pPr>
        <w:pStyle w:val="闻政-正文段落文字"/>
        <w:spacing w:line="520" w:lineRule="exact"/>
        <w:ind w:firstLine="562"/>
        <w:rPr>
          <w:rFonts w:ascii="仿宋_GB2312" w:hAnsi="仿宋_GB2312" w:cs="仿宋_GB2312" w:hint="eastAsia"/>
          <w:b/>
          <w:bCs/>
          <w:color w:val="auto"/>
          <w:highlight w:val="none"/>
        </w:rPr>
      </w:pPr>
      <w:r>
        <w:rPr>
          <w:rFonts w:ascii="仿宋_GB2312" w:hAnsi="仿宋_GB2312" w:cs="仿宋_GB2312" w:hint="eastAsia"/>
          <w:b/>
          <w:bCs/>
          <w:color w:val="auto"/>
          <w:highlight w:val="none"/>
        </w:rPr>
        <w:t xml:space="preserve">1.项目背景</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根据国务院《关于进一步完善城乡义务教育经费保障机制的通知》（国发〔2015〕67号）。为深入贯彻党的十八大和十八届二中、三中、四中、五中全会精神，认真落实党中央、国务院决策部署，统筹城乡义务教育资源均衡配置，推动义务教育事业持续健康发展，国务院决定，自2016年起进一步完善城乡义务教育经费保障机制。</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义务教育是教育工作的重中之重，在全面建成小康社会进程中具有基础性、先导性和全局性的重要作用。自2006年实施农村义务教育经费保障机制改革以来，义务教育逐步纳入公共财政保障范围，城乡免费义务教育全面实现，稳定增长的经费保障机制基本建立，九年义务教育全面普及，县域内义务教育均衡发展水平不断提高。但随着我国新型城镇化建设和户籍制度改革不断推进，学生流动性加大，现行义务教育经费保障机制已不能很好适应新形势要求。城乡义务教育经费保障机制有关政策不统一、经费可携带性不强、资源配置不够均衡、综合改革有待深化等问题，都需要进一步采取措施，切实加以解决。</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在整合农村义务教育经费保障机制和城市义务教育奖补政策的基础上，建立城乡统一、重在农村的义务教育经费保障机制，是教育领域健全城乡发展一体化体制机制的重大举措。这有利于推动省级政府统筹教育改革，优化教育布局，实现城乡义务教育在更高层次的均衡发展，促进教育公平、提高教育质量；有利于深化财税体制改革，推动实现财政转移支付同农业转移人口市民化挂钩，促进劳动力合理流动，推动经济结构调整和产业转型升级；有利于促进基本公共服务均等化，构建社会主义和谐社会，建设人力资源强国。</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根据《关于下达2024年城乡义务教育补助经费预算的通知》财教〔2024〕64号文件，提高义务教育家庭经济困难学生生活补助标准。为深入贯彻落实党的二十大精神，进一步完善覆盖全学段学生资助体系，经国务院同意，从2024年春季学期起提高家庭经济困难寄宿生生活补助国家基础标准，年生均小学由1000元提高到1250元，初中由1250元提高到1500元；家庭经济困难非寄宿生生活补助标准继续按寄宿生生活补助国家基础标准的50%核定。在此基础上，继续对人口较少民族家庭经济困难寄宿生按照年生均250元标准增加生活补助，所需资金由中央财政负担。各省级教育、财政部门要统筹兼顾省以下地区间经济发展水平、居民家庭收入等情况，督促指导市县教育、财政部门持续做好家庭经济困难学生认定和生活补助发放工作，进一步提高资助精准度。落实好学生“两免一补”和营养膳食补助政策。各地教育、财政部门要按规定对义务教育学生（含民办学校学生）落实“两免一补”政策，对义务教育学校（含民办学校）按照不低于生均公用经费基准定额的标准补助公用经费。在安排学校公用经费时，要向寄宿制学校、规模较小学校等薄弱学校倾斜。省级财政、教育部门要督促指导市县财政、教育部门按规定及时足额拨付义务教育学校公用经费和营养膳食补助等资金，规范政府采购行为，严禁滞拨缓拨、虚报冒领、挤占挪用经费;统筹解决学校自主经营食堂（伙房）供餐增加的聘用人员待遇等开支。提高农村学校校舍单位面积补助测算标准。从2024年起提高单位面积补助测算标准，东中部地区由800元/平方米提高到1100元/平方米、西部地区由900元/平方米提高到1200元/平方米，并适当提高高寒高海拔等地区测算标准。财政部、教育部根据各地报送的安全校舍面积等情况，核定2024年校舍安全保障长效机制补助资金。各地要科学确定年度项目计划，做好项目前期准备工作，加快执行进度，支持公办学校维修改造、抗震加固、改扩建校舍及其附属设施。同时，继续做好与发展改革部门安排基本建设项目等各渠道资金的统筹和对接，防止资金、项目安排重复交叉或缺位。综上所述，体现项目立项的重要性和必要性。</w:t>
      </w:r>
    </w:p>
    <w:p>
      <w:pPr>
        <w:pStyle w:val="闻政-正文段落文字"/>
        <w:spacing w:line="520" w:lineRule="exact"/>
        <w:ind w:firstLine="562"/>
        <w:rPr>
          <w:rFonts w:ascii="仿宋_GB2312" w:hAnsi="仿宋_GB2312" w:cs="仿宋_GB2312" w:hint="eastAsia"/>
          <w:b/>
          <w:bCs/>
          <w:color w:val="auto"/>
          <w:highlight w:val="none"/>
        </w:rPr>
      </w:pPr>
      <w:r>
        <w:rPr>
          <w:rFonts w:ascii="仿宋_GB2312" w:hAnsi="仿宋_GB2312" w:cs="仿宋_GB2312" w:hint="eastAsia"/>
          <w:b/>
          <w:bCs/>
          <w:color w:val="auto"/>
          <w:highlight w:val="none"/>
        </w:rPr>
        <w:t xml:space="preserve">2.主要内容及实施情况</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（1）主要内容</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为教育公平是社会公平的重要基础，促进教育公平是国家基本教育政策。党和国家高度重视家庭经济困难学生上学问题，近些年中央有关部门密集出台相关资助政策措施，已建立起覆盖学前教育至研究生教育的学生资助政策体系，从制度上保障了不让一个学生因家庭经济困难而失学。建立普通高中家庭经济困难学生国家资助制度，是贯彻落实科学发展观、构建社会主义和谐社会的重要举措，是实施科教兴国和人才强国战略，优化教育结构，加快普及高中阶段教育的有效手段，对于完善国家资助政策体系，帮助家庭经济困难学生顺利完成学业，促进教育公平，具有重大意义。</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根据岳普湖县实际情况，为岳普湖县义务教育阶段学校提供公用经费保障，生均公用经费保障学生数量35620人。资金主要用于义务教育阶段小学学生、初中学生、寄宿生、随班就读学生、小规模学校对按照人数和学校数量对义务教育阶段各学校进行公用经费补贴。对义务教育学校按照学生人数对学校进行采暖费补贴，保障义务教育阶段公用经费政策全覆盖，享受免费教科书政策的学生全覆盖。</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（2）实施情况</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color w:val="auto"/>
          <w:highlight w:val="none"/>
        </w:rPr>
        <w:t xml:space="preserve">项目实施前由项目负责人</w:t>
      </w:r>
      <w:r>
        <w:rPr>
          <w:rFonts w:ascii="仿宋_GB2312" w:hAnsi="仿宋_GB2312" w:cs="仿宋_GB2312" w:hint="eastAsia"/>
          <w:color w:val="auto"/>
          <w:highlight w:val="none"/>
        </w:rPr>
        <w:t xml:space="preserve">吾斯曼·库都斯</w:t>
      </w:r>
      <w:r>
        <w:rPr>
          <w:rFonts w:ascii="仿宋_GB2312" w:hAnsi="仿宋_GB2312" w:cs="仿宋_GB2312"/>
          <w:color w:val="auto"/>
          <w:highlight w:val="none"/>
        </w:rPr>
        <w:t xml:space="preserve">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p>
    <w:p>
      <w:pPr>
        <w:pStyle w:val="闻政-正文段落文字"/>
        <w:spacing w:line="520" w:lineRule="exact"/>
        <w:ind w:firstLine="562"/>
        <w:rPr>
          <w:rFonts w:ascii="仿宋_GB2312" w:hAnsi="仿宋_GB2312" w:cs="仿宋_GB2312" w:hint="eastAsia"/>
          <w:b/>
          <w:bCs/>
          <w:color w:val="auto"/>
          <w:highlight w:val="none"/>
        </w:rPr>
      </w:pPr>
      <w:r>
        <w:rPr>
          <w:rFonts w:ascii="仿宋_GB2312" w:hAnsi="仿宋_GB2312" w:cs="仿宋_GB2312" w:hint="eastAsia"/>
          <w:b/>
          <w:bCs/>
          <w:color w:val="auto"/>
          <w:highlight w:val="none"/>
        </w:rPr>
        <w:t xml:space="preserve">3.项目实施主体</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项目实施主体：</w:t>
      </w:r>
      <w:r>
        <w:rPr>
          <w:rFonts w:ascii="仿宋_GB2312" w:hAnsi="仿宋_GB2312" w:cs="仿宋_GB2312" w:hint="eastAsia"/>
          <w:color w:val="auto"/>
          <w:highlight w:val="none"/>
        </w:rPr>
        <w:t xml:space="preserve">岳普湖县教育局</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项目实施时间：</w:t>
      </w:r>
      <w:r>
        <w:rPr>
          <w:rFonts w:ascii="仿宋_GB2312" w:hAnsi="仿宋_GB2312" w:cs="仿宋_GB2312" w:hint="eastAsia"/>
          <w:color w:val="auto"/>
          <w:highlight w:val="none"/>
        </w:rPr>
        <w:t xml:space="preserve">2024年1月-12月</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实施主体基本情况：</w:t>
      </w:r>
      <w:r>
        <w:rPr>
          <w:rFonts w:ascii="仿宋_GB2312" w:hAnsi="仿宋_GB2312" w:cs="仿宋_GB2312" w:hint="eastAsia"/>
          <w:color w:val="auto"/>
          <w:highlight w:val="none"/>
        </w:rPr>
        <w:t xml:space="preserve">该项目实施主体单位为岳普湖县教育局，岳普湖县教育局成立时间为1972年2月；单位隶属关系为政府职能部门；下设部门有：岳普湖县教育教学质量监测中心、岳普湖县教育教学研究室、岳普湖县教育综合服务中心、岳普湖县教育核算中心、岳普湖县青少年校外活动中心。</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单位主要职能是：岳普湖县教育局全面贯彻党和国家的教育方针、政策和有关教育的法律、法规；研究起草教育工作的地方性法规、规章，并组织实施。综合管理全县基础教育（含学前教育）、高等教育、职业教育、成人教育以及特殊教育、社会力量办学、社区教育、扫盲等工作；指导、协调县乡镇有关部门的教育工作；负责全县教育督导评估工作。</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实施主体编制情况：</w:t>
      </w:r>
      <w:r>
        <w:rPr>
          <w:rFonts w:ascii="仿宋_GB2312" w:hAnsi="仿宋_GB2312" w:cs="仿宋_GB2312" w:hint="eastAsia"/>
          <w:color w:val="auto"/>
          <w:highlight w:val="none"/>
        </w:rPr>
        <w:t xml:space="preserve">岳普湖县教育局年末编制内实有人员人数3743人，其中：公务员4人，参照公务员法管理人员2人，事业管理人员和专业技术人员3737人</w:t>
      </w:r>
      <w:r>
        <w:rPr>
          <w:rFonts w:ascii="仿宋_GB2312" w:hAnsi="仿宋_GB2312" w:cs="仿宋_GB2312" w:hint="eastAsia"/>
          <w:color w:val="auto"/>
          <w:highlight w:val="none"/>
        </w:rPr>
        <w:t xml:space="preserve">。</w:t>
      </w:r>
    </w:p>
    <w:p>
      <w:pPr>
        <w:pStyle w:val="闻政-正文段落文字"/>
        <w:spacing w:line="520" w:lineRule="exact"/>
        <w:ind w:firstLine="562"/>
        <w:rPr>
          <w:rFonts w:ascii="仿宋_GB2312" w:hAnsi="仿宋_GB2312" w:cs="仿宋_GB2312" w:hint="eastAsia"/>
          <w:b/>
          <w:bCs/>
          <w:color w:val="auto"/>
          <w:highlight w:val="none"/>
        </w:rPr>
      </w:pPr>
      <w:r>
        <w:rPr>
          <w:rFonts w:ascii="仿宋_GB2312" w:hAnsi="仿宋_GB2312" w:cs="仿宋_GB2312" w:hint="eastAsia"/>
          <w:b/>
          <w:bCs/>
          <w:color w:val="auto"/>
          <w:highlight w:val="none"/>
        </w:rPr>
        <w:t xml:space="preserve">4.资金投入情况</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（1）</w:t>
      </w:r>
      <w:r>
        <w:rPr>
          <w:rFonts w:ascii="仿宋_GB2312" w:hAnsi="仿宋_GB2312" w:cs="仿宋_GB2312" w:hint="eastAsia"/>
          <w:color w:val="auto"/>
          <w:highlight w:val="none"/>
        </w:rPr>
        <w:t xml:space="preserve">项目资金安排落实情况分析</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根据《关于提前下达2024年城乡义务教育补助经费预算（中央直达资金）的通知》喀地财教〔2023〕78号、《关于提前下达2024年城乡义务教育补助经费预算（自治区直达资金）的通知》喀地财教〔2023〕85号、《关于下达2024年城乡义务教育补助经费（第二批）中央直达资金的通知》喀地财教〔2024〕27号、岳财预〔2024〕1号</w:t>
      </w:r>
      <w:r>
        <w:rPr>
          <w:rFonts w:ascii="仿宋_GB2312" w:hAnsi="仿宋_GB2312" w:cs="仿宋_GB2312" w:hint="eastAsia"/>
          <w:color w:val="auto"/>
          <w:highlight w:val="none"/>
        </w:rPr>
        <w:t xml:space="preserve">等文件，</w:t>
      </w:r>
      <w:r>
        <w:rPr>
          <w:rFonts w:ascii="仿宋_GB2312" w:hAnsi="仿宋_GB2312" w:cs="仿宋_GB2312" w:hint="eastAsia"/>
          <w:color w:val="auto"/>
          <w:highlight w:val="none"/>
        </w:rPr>
        <w:t xml:space="preserve">年初预算数</w:t>
      </w:r>
      <w:r>
        <w:rPr>
          <w:rFonts w:ascii="仿宋_GB2312" w:hAnsi="仿宋_GB2312" w:cs="仿宋_GB2312"/>
          <w:color w:val="auto"/>
          <w:highlight w:val="none"/>
        </w:rPr>
        <w:t xml:space="preserve">10505.35</w:t>
      </w:r>
      <w:r>
        <w:rPr>
          <w:rFonts w:ascii="仿宋_GB2312" w:hAnsi="仿宋_GB2312" w:cs="仿宋_GB2312" w:hint="eastAsia"/>
          <w:color w:val="auto"/>
          <w:highlight w:val="none"/>
        </w:rPr>
        <w:t xml:space="preserve">万元，全年预算数为</w:t>
      </w:r>
      <w:r>
        <w:rPr>
          <w:rFonts w:ascii="仿宋_GB2312" w:hAnsi="仿宋_GB2312" w:cs="仿宋_GB2312"/>
          <w:color w:val="auto"/>
          <w:highlight w:val="none"/>
        </w:rPr>
        <w:t xml:space="preserve">3880.76</w:t>
      </w:r>
      <w:r>
        <w:rPr>
          <w:rFonts w:ascii="仿宋_GB2312" w:hAnsi="仿宋_GB2312" w:cs="仿宋_GB2312" w:hint="eastAsia"/>
          <w:color w:val="auto"/>
          <w:highlight w:val="none"/>
        </w:rPr>
        <w:t xml:space="preserve">万元，其中：财政资金</w:t>
      </w:r>
      <w:r>
        <w:rPr>
          <w:rFonts w:ascii="仿宋_GB2312" w:hAnsi="仿宋_GB2312" w:cs="仿宋_GB2312"/>
          <w:color w:val="auto"/>
          <w:highlight w:val="none"/>
        </w:rPr>
        <w:t xml:space="preserve">3880.76</w:t>
      </w:r>
      <w:r>
        <w:rPr>
          <w:rFonts w:ascii="仿宋_GB2312" w:hAnsi="仿宋_GB2312" w:cs="仿宋_GB2312" w:hint="eastAsia"/>
          <w:color w:val="auto"/>
          <w:highlight w:val="none"/>
        </w:rPr>
        <w:t xml:space="preserve">万元，其他资金</w:t>
      </w:r>
      <w:r>
        <w:rPr>
          <w:rFonts w:ascii="仿宋_GB2312" w:hAnsi="仿宋_GB2312" w:cs="仿宋_GB2312" w:hint="eastAsia"/>
          <w:color w:val="auto"/>
          <w:highlight w:val="none"/>
        </w:rPr>
        <w:t xml:space="preserve">0.00</w:t>
      </w:r>
      <w:r>
        <w:rPr>
          <w:rFonts w:ascii="仿宋_GB2312" w:hAnsi="仿宋_GB2312" w:cs="仿宋_GB2312" w:hint="eastAsia"/>
          <w:color w:val="auto"/>
          <w:highlight w:val="none"/>
        </w:rPr>
        <w:t xml:space="preserve">万元。</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（2）项目资金总投入情况分析</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截止2024年12月31日，实际到位项目资金</w:t>
      </w:r>
      <w:r>
        <w:rPr>
          <w:rFonts w:ascii="仿宋_GB2312" w:hAnsi="仿宋_GB2312" w:cs="仿宋_GB2312"/>
          <w:color w:val="auto"/>
          <w:highlight w:val="none"/>
        </w:rPr>
        <w:t xml:space="preserve">3880.76</w:t>
      </w:r>
      <w:r>
        <w:rPr>
          <w:rFonts w:ascii="仿宋_GB2312" w:hAnsi="仿宋_GB2312" w:cs="仿宋_GB2312" w:hint="eastAsia"/>
          <w:color w:val="auto"/>
          <w:highlight w:val="none"/>
        </w:rPr>
        <w:t xml:space="preserve">万元，预算资金到位率为</w:t>
      </w:r>
      <w:r>
        <w:rPr>
          <w:rFonts w:ascii="仿宋_GB2312" w:hAnsi="仿宋_GB2312" w:cs="仿宋_GB2312" w:hint="eastAsia"/>
          <w:color w:val="auto"/>
          <w:highlight w:val="none"/>
        </w:rPr>
        <w:t xml:space="preserve">100%</w:t>
      </w:r>
      <w:r>
        <w:rPr>
          <w:rFonts w:ascii="仿宋_GB2312" w:hAnsi="仿宋_GB2312" w:cs="仿宋_GB2312" w:hint="eastAsia"/>
          <w:color w:val="auto"/>
          <w:highlight w:val="none"/>
        </w:rPr>
        <w:t xml:space="preserve">。</w:t>
      </w:r>
    </w:p>
    <w:p>
      <w:pPr>
        <w:pStyle w:val="闻政-正文段落文字"/>
        <w:spacing w:line="520" w:lineRule="exact"/>
        <w:ind w:firstLine="562"/>
        <w:rPr>
          <w:rFonts w:ascii="仿宋_GB2312" w:hAnsi="仿宋_GB2312" w:cs="仿宋_GB2312" w:hint="eastAsia"/>
          <w:color w:val="auto"/>
          <w:highlight w:val="none"/>
        </w:rPr>
      </w:pPr>
      <w:r>
        <w:rPr>
          <w:rFonts w:ascii="仿宋_GB2312" w:hAnsi="仿宋_GB2312" w:cs="仿宋_GB2312" w:hint="eastAsia"/>
          <w:b/>
          <w:bCs/>
          <w:color w:val="auto"/>
          <w:highlight w:val="none"/>
        </w:rPr>
        <w:t xml:space="preserve">5.资金使用情况</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截止2024年12月31日，本项目实际支付资金</w:t>
      </w:r>
      <w:r>
        <w:rPr>
          <w:rFonts w:ascii="仿宋_GB2312" w:hAnsi="仿宋_GB2312" w:cs="仿宋_GB2312"/>
          <w:color w:val="auto"/>
          <w:highlight w:val="none"/>
        </w:rPr>
        <w:t xml:space="preserve">3880.76</w:t>
      </w:r>
      <w:r>
        <w:rPr>
          <w:rFonts w:ascii="仿宋_GB2312" w:hAnsi="仿宋_GB2312" w:cs="仿宋_GB2312" w:hint="eastAsia"/>
          <w:color w:val="auto"/>
          <w:highlight w:val="none"/>
        </w:rPr>
        <w:t xml:space="preserve">万元，预算执行率</w:t>
      </w:r>
      <w:r>
        <w:rPr>
          <w:rFonts w:ascii="仿宋_GB2312" w:hAnsi="仿宋_GB2312" w:cs="仿宋_GB2312" w:hint="eastAsia"/>
          <w:color w:val="auto"/>
          <w:highlight w:val="none"/>
        </w:rPr>
        <w:t xml:space="preserve">100%</w:t>
      </w:r>
      <w:r>
        <w:rPr>
          <w:rFonts w:ascii="仿宋_GB2312" w:hAnsi="仿宋_GB2312" w:cs="仿宋_GB2312" w:hint="eastAsia"/>
          <w:color w:val="auto"/>
          <w:highlight w:val="none"/>
        </w:rPr>
        <w:t xml:space="preserve">。项目资金主要用于义务教育阶段弥补学校因免学费导致的运转经费缺口。包括教学支出、日常办公经费、学校基础设施维护与改善等。</w:t>
      </w:r>
    </w:p>
    <w:p>
      <w:pPr>
        <w:pStyle w:val="闻政-正文二级标题"/>
        <w:keepNext w:val="0"/>
        <w:keepLines w:val="0"/>
        <w:spacing w:line="520" w:lineRule="exact"/>
        <w:ind w:left="560"/>
        <w:jc w:val="both"/>
        <w:rPr>
          <w:color w:val="auto"/>
          <w:highlight w:val="none"/>
        </w:rPr>
      </w:pPr>
      <w:bookmarkStart w:id="20" w:name="_Toc23928_WPSOffice_Level2"/>
      <w:bookmarkStart w:id="21" w:name="_Toc20532"/>
      <w:bookmarkStart w:id="22" w:name="_Toc18974"/>
      <w:bookmarkStart w:id="23" w:name="_Toc18631"/>
      <w:bookmarkStart w:id="24" w:name="_Toc23149"/>
      <w:bookmarkStart w:id="25" w:name="_Toc127054585"/>
      <w:bookmarkStart w:id="26" w:name="_Toc13569"/>
      <w:bookmarkStart w:id="27" w:name="_Toc32607_WPSOffice_Level2"/>
      <w:bookmarkStart w:id="28" w:name="_Toc19378"/>
      <w:bookmarkStart w:id="29" w:name="_Toc1686_WPSOffice_Level2"/>
      <w:r>
        <w:rPr>
          <w:rFonts w:hint="eastAsia"/>
          <w:color w:val="auto"/>
          <w:highlight w:val="none"/>
        </w:rPr>
        <w:t xml:space="preserve">（二）项目绩效目标</w:t>
      </w:r>
      <w:bookmarkEnd w:id="20"/>
      <w:bookmarkEnd w:id="21"/>
      <w:bookmarkEnd w:id="22"/>
      <w:bookmarkEnd w:id="23"/>
      <w:bookmarkEnd w:id="24"/>
      <w:bookmarkEnd w:id="25"/>
      <w:bookmarkEnd w:id="26"/>
      <w:bookmarkEnd w:id="27"/>
      <w:bookmarkEnd w:id="28"/>
      <w:bookmarkEnd w:id="29"/>
    </w:p>
    <w:p>
      <w:pPr>
        <w:pStyle w:val="闻政-正文段落文字"/>
        <w:spacing w:line="520" w:lineRule="exact"/>
        <w:ind w:firstLine="562"/>
        <w:rPr>
          <w:rFonts w:ascii="仿宋_GB2312" w:hAnsi="仿宋_GB2312" w:cs="仿宋_GB2312" w:hint="eastAsia"/>
          <w:b/>
          <w:bCs/>
          <w:color w:val="auto"/>
          <w:highlight w:val="none"/>
        </w:rPr>
      </w:pPr>
      <w:r>
        <w:rPr>
          <w:rFonts w:ascii="仿宋_GB2312" w:hAnsi="仿宋_GB2312" w:cs="仿宋_GB2312" w:hint="eastAsia"/>
          <w:b/>
          <w:bCs/>
          <w:color w:val="auto"/>
          <w:highlight w:val="none"/>
        </w:rPr>
        <w:t xml:space="preserve">1.项目总体目标</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根据岳普湖县实际情况，为岳普湖县义务教育阶段学校提供公用经费保障，生均公用经费保障学生数量35620人。资金主要用于义务教育阶段小学学生、初中学生、寄宿生、随班就读学生、小规模学校对按照人数和学校数量对义务教育阶段各学校进行公用经费补贴。对义务教育学校按照学生人数对学校进行采暖费补贴，保障义务教育阶段公用经费政策全覆盖，享受免费教科书政策的学生全覆盖。通过项目的实施减轻学生家庭经济负担，维护学校正常运转能力，改善学校办学条件，为义务教育阶段学校正常运转、完成教育教学活动和其他日常工作提供保障。</w:t>
      </w:r>
    </w:p>
    <w:p>
      <w:pPr>
        <w:pStyle w:val="闻政-正文段落文字"/>
        <w:spacing w:line="520" w:lineRule="exact"/>
        <w:ind w:firstLine="562"/>
        <w:rPr>
          <w:rFonts w:ascii="仿宋_GB2312" w:hAnsi="仿宋_GB2312" w:cs="仿宋_GB2312" w:hint="eastAsia"/>
          <w:b/>
          <w:bCs/>
          <w:color w:val="auto"/>
          <w:highlight w:val="none"/>
        </w:rPr>
      </w:pPr>
      <w:r>
        <w:rPr>
          <w:rFonts w:ascii="仿宋_GB2312" w:hAnsi="仿宋_GB2312" w:cs="仿宋_GB2312" w:hint="eastAsia"/>
          <w:b/>
          <w:bCs/>
          <w:color w:val="auto"/>
          <w:highlight w:val="none"/>
        </w:rPr>
        <w:t xml:space="preserve">2.项目阶段性目标</w:t>
      </w:r>
      <w:bookmarkStart w:id="30" w:name="_Toc24349"/>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前期准备：通过制定项目实施方案，经项目负责人审核通过后，有序开展后续工作。</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组织实施：资金一到位，立即根据项目要求实施项目。项目责任人按照项目实施方案要求逐一进行项目部署安排，提高项目质量及效率性。</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项目投入：</w:t>
      </w:r>
      <w:r>
        <w:rPr>
          <w:rFonts w:ascii="仿宋_GB2312" w:hAnsi="仿宋_GB2312" w:cs="仿宋_GB2312" w:hint="eastAsia"/>
          <w:color w:val="auto"/>
          <w:highlight w:val="none"/>
        </w:rPr>
        <w:t xml:space="preserve">本项目预算安排总额为</w:t>
      </w:r>
      <w:r>
        <w:rPr>
          <w:rFonts w:ascii="仿宋_GB2312" w:hAnsi="仿宋_GB2312" w:cs="仿宋_GB2312"/>
          <w:color w:val="auto"/>
          <w:highlight w:val="none"/>
        </w:rPr>
        <w:t xml:space="preserve">3880.76</w:t>
      </w:r>
      <w:r>
        <w:rPr>
          <w:rFonts w:ascii="仿宋_GB2312" w:hAnsi="仿宋_GB2312" w:cs="仿宋_GB2312" w:hint="eastAsia"/>
          <w:color w:val="auto"/>
          <w:highlight w:val="none"/>
        </w:rPr>
        <w:t xml:space="preserve">万元，为</w:t>
      </w:r>
      <w:r>
        <w:rPr>
          <w:rFonts w:ascii="仿宋_GB2312" w:hAnsi="仿宋_GB2312" w:cs="仿宋_GB2312" w:hint="eastAsia"/>
          <w:color w:val="auto"/>
          <w:highlight w:val="none"/>
        </w:rPr>
        <w:t xml:space="preserve">上级转移支付和本级财力追加</w:t>
      </w:r>
      <w:r>
        <w:rPr>
          <w:rFonts w:ascii="仿宋_GB2312" w:hAnsi="仿宋_GB2312" w:cs="仿宋_GB2312" w:hint="eastAsia"/>
          <w:color w:val="auto"/>
          <w:highlight w:val="none"/>
        </w:rPr>
        <w:t xml:space="preserve">资金。</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项目产出：</w:t>
      </w:r>
      <w:r>
        <w:rPr>
          <w:rFonts w:ascii="仿宋_GB2312" w:hAnsi="仿宋_GB2312" w:cs="仿宋_GB2312" w:hint="eastAsia"/>
          <w:color w:val="auto"/>
          <w:highlight w:val="none"/>
        </w:rPr>
        <w:t xml:space="preserve">为岳普湖县义务教育阶段学校提供公用经费保障，生均公用经费保障学生数量35620人。资金主要用于义务教育阶段小学学生、初中学生、寄宿生、随班就读学生、小规模学校对按照人数和学校数量对义务教育阶段各学校进行公用经费补贴。对义务教育学校按照学生人数对学校进行采暖费补贴，保障义务教育阶段公用经费政策全覆盖，享受免费教科书政策的学生全覆盖。</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项目效果：</w:t>
      </w:r>
      <w:r>
        <w:rPr>
          <w:rFonts w:ascii="仿宋_GB2312" w:hAnsi="仿宋_GB2312" w:cs="仿宋_GB2312" w:hint="eastAsia"/>
          <w:color w:val="auto"/>
          <w:highlight w:val="none"/>
        </w:rPr>
        <w:t xml:space="preserve">通过项目的实施减轻学生家庭经济负担，维护学校正常运转能力，改善学校办学条件，为义务教育阶段学校正常运转、完成教育教学活动和其他日常工作提供保障。</w:t>
      </w:r>
    </w:p>
    <w:p>
      <w:pPr>
        <w:pStyle w:val="闻政-正文一级标题"/>
        <w:keepNext w:val="0"/>
        <w:keepLines w:val="0"/>
        <w:spacing w:line="520" w:lineRule="exact"/>
        <w:ind w:firstLine="640" w:firstLineChars="200"/>
        <w:jc w:val="both"/>
        <w:rPr>
          <w:rFonts w:hint="eastAsia"/>
          <w:color w:val="auto"/>
          <w:highlight w:val="none"/>
        </w:rPr>
      </w:pPr>
      <w:bookmarkStart w:id="31" w:name="_Toc17863"/>
      <w:bookmarkStart w:id="32" w:name="_Toc10478"/>
      <w:bookmarkStart w:id="33" w:name="_Toc32174_WPSOffice_Level1"/>
      <w:bookmarkStart w:id="34" w:name="_Toc8160"/>
      <w:bookmarkStart w:id="35" w:name="_Toc12560_WPSOffice_Level1"/>
      <w:bookmarkStart w:id="36" w:name="_Toc127054586"/>
      <w:bookmarkStart w:id="37" w:name="_Toc1545_WPSOffice_Level1"/>
      <w:bookmarkStart w:id="38" w:name="_Toc3608"/>
      <w:bookmarkStart w:id="39" w:name="_Toc9278"/>
      <w:r>
        <w:rPr>
          <w:rFonts w:hint="eastAsia"/>
          <w:color w:val="auto"/>
          <w:highlight w:val="none"/>
        </w:rPr>
        <w:t xml:space="preserve">二、绩效评价工作开展情况</w:t>
      </w:r>
      <w:bookmarkEnd w:id="30"/>
      <w:bookmarkEnd w:id="31"/>
      <w:bookmarkEnd w:id="32"/>
      <w:bookmarkEnd w:id="33"/>
      <w:bookmarkEnd w:id="34"/>
      <w:bookmarkEnd w:id="35"/>
      <w:bookmarkEnd w:id="36"/>
      <w:bookmarkEnd w:id="37"/>
      <w:bookmarkEnd w:id="38"/>
      <w:bookmarkEnd w:id="39"/>
    </w:p>
    <w:p>
      <w:pPr>
        <w:pStyle w:val="闻政-正文二级标题"/>
        <w:keepNext w:val="0"/>
        <w:keepLines w:val="0"/>
        <w:spacing w:line="520" w:lineRule="exact"/>
        <w:ind w:left="560"/>
        <w:jc w:val="both"/>
        <w:rPr>
          <w:rFonts w:ascii="仿宋_GB2312" w:hAnsi="仿宋_GB2312" w:cs="仿宋_GB2312" w:hint="eastAsia"/>
          <w:color w:val="auto"/>
          <w:highlight w:val="none"/>
        </w:rPr>
      </w:pPr>
      <w:bookmarkStart w:id="40" w:name="_Toc17696_WPSOffice_Level2"/>
      <w:bookmarkStart w:id="41" w:name="_Toc10259_WPSOffice_Level2"/>
      <w:bookmarkStart w:id="42" w:name="_Toc15466"/>
      <w:bookmarkStart w:id="43" w:name="_Toc1997"/>
      <w:bookmarkStart w:id="44" w:name="_Toc25691"/>
      <w:bookmarkStart w:id="45" w:name="_Toc14202_WPSOffice_Level2"/>
      <w:bookmarkStart w:id="46" w:name="_Toc27953"/>
      <w:bookmarkStart w:id="47" w:name="_Toc20761"/>
      <w:bookmarkStart w:id="48" w:name="_Toc1092"/>
      <w:bookmarkStart w:id="49" w:name="_Toc127054587"/>
      <w:r>
        <w:rPr>
          <w:rFonts w:ascii="仿宋_GB2312" w:hAnsi="仿宋_GB2312" w:cs="仿宋_GB2312" w:hint="eastAsia"/>
          <w:color w:val="auto"/>
          <w:highlight w:val="none"/>
        </w:rPr>
        <w:t xml:space="preserve">（一）绩效评价目的、对象、时间和范围</w:t>
      </w:r>
      <w:bookmarkEnd w:id="40"/>
      <w:bookmarkEnd w:id="41"/>
      <w:bookmarkEnd w:id="42"/>
      <w:bookmarkEnd w:id="43"/>
      <w:bookmarkEnd w:id="44"/>
      <w:bookmarkEnd w:id="45"/>
      <w:bookmarkEnd w:id="46"/>
      <w:bookmarkEnd w:id="47"/>
      <w:bookmarkEnd w:id="48"/>
      <w:bookmarkEnd w:id="49"/>
    </w:p>
    <w:p>
      <w:pPr>
        <w:pStyle w:val="闻政-正文段落文字"/>
        <w:spacing w:line="520" w:lineRule="exact"/>
        <w:ind w:firstLine="562"/>
        <w:rPr>
          <w:rFonts w:ascii="仿宋_GB2312" w:hAnsi="仿宋_GB2312" w:cs="仿宋_GB2312" w:hint="eastAsia"/>
          <w:b/>
          <w:bCs/>
          <w:color w:val="auto"/>
          <w:highlight w:val="none"/>
        </w:rPr>
      </w:pPr>
      <w:r>
        <w:rPr>
          <w:rFonts w:ascii="仿宋_GB2312" w:hAnsi="仿宋_GB2312" w:cs="仿宋_GB2312" w:hint="eastAsia"/>
          <w:b/>
          <w:bCs/>
          <w:color w:val="auto"/>
          <w:highlight w:val="none"/>
        </w:rPr>
        <w:t xml:space="preserve">1.绩效评价完整性</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项目绩效评价过程中，应全面考虑项目的各个方面，包括项目的目标设定、实施过程、资源利用、风险控制、产出效果等。此外，完整性要求评价充分考虑项目效益的发挥贡献。</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为了实现项目绩效评价的完整性，建立一套科学、合理、系统的评价指标体系。评价体系能够全面反映项目的特点和要求，确保评价的准确性和有效性。</w:t>
      </w:r>
    </w:p>
    <w:p>
      <w:pPr>
        <w:pStyle w:val="闻政-正文段落文字"/>
        <w:spacing w:line="520" w:lineRule="exact"/>
        <w:ind w:firstLine="562"/>
        <w:rPr>
          <w:rFonts w:ascii="仿宋_GB2312" w:hAnsi="仿宋_GB2312" w:cs="仿宋_GB2312" w:hint="eastAsia"/>
          <w:b/>
          <w:bCs/>
          <w:color w:val="auto"/>
          <w:highlight w:val="none"/>
        </w:rPr>
      </w:pPr>
      <w:r>
        <w:rPr>
          <w:rFonts w:ascii="仿宋_GB2312" w:hAnsi="仿宋_GB2312" w:cs="仿宋_GB2312" w:hint="eastAsia"/>
          <w:b/>
          <w:bCs/>
          <w:color w:val="auto"/>
          <w:highlight w:val="none"/>
        </w:rPr>
        <w:t xml:space="preserve">2.绩效评价目的</w:t>
      </w:r>
    </w:p>
    <w:p>
      <w:pPr>
        <w:pStyle w:val="闻政-正文三级标题"/>
        <w:widowControl w:val="0"/>
        <w:spacing w:line="520" w:lineRule="exact"/>
        <w:ind w:left="0" w:firstLine="560" w:leftChars="0" w:firstLineChars="200"/>
        <w:rPr>
          <w:rFonts w:ascii="仿宋_GB2312" w:hAnsi="仿宋_GB2312" w:cs="仿宋_GB2312" w:hint="eastAsia"/>
          <w:b w:val="0"/>
          <w:snapToGrid/>
          <w:color w:val="auto"/>
          <w:highlight w:val="none"/>
        </w:rPr>
      </w:pPr>
      <w:r>
        <w:rPr>
          <w:rFonts w:ascii="仿宋_GB2312" w:hAnsi="仿宋_GB2312" w:cs="仿宋_GB2312" w:hint="eastAsia"/>
          <w:b w:val="0"/>
          <w:snapToGrid/>
          <w:color w:val="auto"/>
          <w:highlight w:val="none"/>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w:t>
      </w:r>
      <w:r>
        <w:rPr>
          <w:rFonts w:ascii="仿宋_GB2312" w:hAnsi="仿宋_GB2312" w:cs="仿宋_GB2312" w:hint="eastAsia"/>
          <w:b w:val="0"/>
          <w:snapToGrid/>
          <w:color w:val="auto"/>
          <w:highlight w:val="none"/>
        </w:rPr>
        <w:t xml:space="preserve">城乡义务教育补助经费项目（公用经费）</w:t>
      </w:r>
      <w:r>
        <w:rPr>
          <w:rFonts w:ascii="仿宋_GB2312" w:hAnsi="仿宋_GB2312" w:cs="仿宋_GB2312" w:hint="eastAsia"/>
          <w:b w:val="0"/>
          <w:snapToGrid/>
          <w:color w:val="auto"/>
          <w:highlight w:val="none"/>
        </w:rPr>
        <w:t xml:space="preserve">”开展本次部门项目支出绩效评价工作旨在评价财政项目的实施前期、过程及效果，评价财政预算资金使用的效率及效益。</w:t>
      </w:r>
    </w:p>
    <w:p>
      <w:pPr>
        <w:pStyle w:val="闻政-正文三级标题"/>
        <w:widowControl w:val="0"/>
        <w:spacing w:line="520" w:lineRule="exact"/>
        <w:ind w:left="0" w:firstLine="560" w:leftChars="0" w:firstLineChars="200"/>
        <w:rPr>
          <w:rFonts w:ascii="仿宋_GB2312" w:hAnsi="仿宋_GB2312" w:cs="仿宋_GB2312" w:hint="eastAsia"/>
          <w:b w:val="0"/>
          <w:snapToGrid/>
          <w:color w:val="auto"/>
          <w:highlight w:val="none"/>
        </w:rPr>
      </w:pPr>
      <w:r>
        <w:rPr>
          <w:rFonts w:ascii="仿宋_GB2312" w:hAnsi="仿宋_GB2312" w:cs="仿宋_GB2312" w:hint="eastAsia"/>
          <w:b w:val="0"/>
          <w:snapToGrid/>
          <w:color w:val="auto"/>
          <w:highlight w:val="none"/>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p>
    <w:p>
      <w:pPr>
        <w:pStyle w:val="闻政-正文段落文字"/>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p>
    <w:p>
      <w:pPr>
        <w:pStyle w:val="闻政-正文段落文字"/>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二是通过部门项目支出绩效评价，进一步做实绩效目标，根据项目绩效目标设立情况，细化形成多维度绩效指标，保证项目绩效指标设置科学、规范、合理、可衡量。</w:t>
      </w:r>
    </w:p>
    <w:p>
      <w:pPr>
        <w:pStyle w:val="闻政-正文段落文字"/>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Style w:val="闻政-正文段落文字"/>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p>
    <w:p>
      <w:pPr>
        <w:pStyle w:val="闻政-正文三级标题"/>
        <w:widowControl w:val="0"/>
        <w:spacing w:line="520" w:lineRule="exact"/>
        <w:ind w:left="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3.绩效评价对象</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w:t>
      </w:r>
      <w:r>
        <w:rPr>
          <w:rFonts w:ascii="仿宋_GB2312" w:hAnsi="仿宋_GB2312" w:cs="仿宋_GB2312" w:hint="eastAsia"/>
          <w:color w:val="auto"/>
          <w:highlight w:val="none"/>
        </w:rPr>
        <w:t xml:space="preserve">城乡义务教育补助经费项目（公用经费）</w:t>
      </w:r>
      <w:r>
        <w:rPr>
          <w:rFonts w:ascii="仿宋_GB2312" w:hAnsi="仿宋_GB2312" w:cs="仿宋_GB2312" w:hint="eastAsia"/>
          <w:color w:val="auto"/>
          <w:highlight w:val="none"/>
        </w:rPr>
        <w:t xml:space="preserve">”支出为对象所对应的预算资金，以本项目实施所带来的产出和效果为主要内容，以促进预算单位完成特定工作任务目标所组织开展的绩效评价。</w:t>
      </w:r>
    </w:p>
    <w:p>
      <w:pPr>
        <w:pStyle w:val="闻政-正文三级标题"/>
        <w:widowControl w:val="0"/>
        <w:spacing w:line="520" w:lineRule="exact"/>
        <w:ind w:left="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4.绩效评价时间</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本次绩效评价工作开展时间为2025年1月16日至2025年2月28日。</w:t>
      </w:r>
    </w:p>
    <w:p>
      <w:pPr>
        <w:pStyle w:val="闻政-正文三级标题"/>
        <w:widowControl w:val="0"/>
        <w:spacing w:line="520" w:lineRule="exact"/>
        <w:ind w:left="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5.绩效评价范围</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本次评价范围涵盖项目总体绩效目标、各项绩效指标完成情况以及预算执行情况。对项目预算资金支出的所有内容进行评价。包括项目决策、项目实施和项目成果验收流程等。</w:t>
      </w:r>
    </w:p>
    <w:p>
      <w:pPr>
        <w:pStyle w:val="闻政-正文二级标题"/>
        <w:keepNext w:val="0"/>
        <w:keepLines w:val="0"/>
        <w:spacing w:line="520" w:lineRule="exact"/>
        <w:ind w:left="560"/>
        <w:jc w:val="both"/>
        <w:rPr>
          <w:rFonts w:ascii="仿宋_GB2312" w:hAnsi="仿宋_GB2312" w:cs="仿宋_GB2312" w:hint="eastAsia"/>
          <w:color w:val="auto"/>
          <w:highlight w:val="none"/>
        </w:rPr>
      </w:pPr>
      <w:bookmarkStart w:id="50" w:name="_Toc127054588"/>
      <w:bookmarkStart w:id="51" w:name="_Toc7586"/>
      <w:bookmarkStart w:id="52" w:name="_Toc18827"/>
      <w:bookmarkStart w:id="53" w:name="_Toc6151"/>
      <w:bookmarkStart w:id="54" w:name="_Toc10463_WPSOffice_Level2"/>
      <w:bookmarkStart w:id="55" w:name="_Toc5510"/>
      <w:bookmarkStart w:id="56" w:name="_Toc10930_WPSOffice_Level2"/>
      <w:bookmarkStart w:id="57" w:name="_Toc2006_WPSOffice_Level2"/>
      <w:bookmarkStart w:id="58" w:name="_Toc2200"/>
      <w:bookmarkStart w:id="59" w:name="_Toc5010"/>
      <w:r>
        <w:rPr>
          <w:rFonts w:ascii="仿宋_GB2312" w:hAnsi="仿宋_GB2312" w:cs="仿宋_GB2312" w:hint="eastAsia"/>
          <w:color w:val="auto"/>
          <w:highlight w:val="none"/>
        </w:rPr>
        <w:t xml:space="preserve">（二）绩效评价原则、评价指标体系、评价方法和评价标准</w:t>
      </w:r>
      <w:bookmarkEnd w:id="50"/>
      <w:bookmarkEnd w:id="51"/>
      <w:bookmarkEnd w:id="52"/>
      <w:bookmarkEnd w:id="53"/>
      <w:bookmarkEnd w:id="54"/>
      <w:bookmarkEnd w:id="55"/>
      <w:bookmarkEnd w:id="56"/>
      <w:bookmarkEnd w:id="57"/>
      <w:bookmarkEnd w:id="58"/>
      <w:bookmarkEnd w:id="59"/>
    </w:p>
    <w:p>
      <w:pPr>
        <w:pStyle w:val="闻政-正文三级标题"/>
        <w:widowControl w:val="0"/>
        <w:spacing w:line="520" w:lineRule="exact"/>
        <w:ind w:left="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1.绩效评价原则</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本次绩效评价遵循的原则包括：</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（1）科学公正。绩效评价应当运用科学合理的方法，按照规范的程序，对项目绩效进行客观、公正的反映。</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（3）激励约束。绩效评价结果应与预算安排、政策调整、改进管理实质性挂钩，体现奖优罚劣和激励相容导向，有效要安排、低效要压减、无效要问责。</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（4）公开透明。绩效评价结果应依法依规公开，并自觉接受社会监督。</w:t>
      </w:r>
    </w:p>
    <w:p>
      <w:pPr>
        <w:pStyle w:val="闻政-正文三级标题"/>
        <w:widowControl w:val="0"/>
        <w:spacing w:line="520" w:lineRule="exact"/>
        <w:ind w:left="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2.绩效评价指标体系</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一级指标为：决策、过程、产出、效益。</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二级指标为：项目立项、绩效目标、资金投入、资金管理、组织实施、产出数量、产出质量、产出时效、产出成本、项目效益。</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w:t>
      </w:r>
      <w:r>
        <w:rPr>
          <w:rFonts w:ascii="仿宋_GB2312" w:hAnsi="仿宋_GB2312" w:cs="仿宋_GB2312" w:hint="eastAsia"/>
          <w:color w:val="auto"/>
          <w:highlight w:val="none"/>
        </w:rPr>
        <w:t xml:space="preserve">生均公用经费保障学生数量、享受免费教科书政策的学生比例、教科书质量合格率、农村学校校舍日常维修改造质量达标率、义务教育公用经费政策覆盖率、资金支付完成时间、项目完成及时率、生均公用经费（补贴标准）、减轻学生家庭经济负担、家长和学生满意度</w:t>
      </w:r>
      <w:r>
        <w:rPr>
          <w:rFonts w:ascii="仿宋_GB2312" w:hAnsi="仿宋_GB2312" w:cs="仿宋_GB2312" w:hint="eastAsia"/>
          <w:color w:val="auto"/>
          <w:highlight w:val="none"/>
        </w:rPr>
        <w:t xml:space="preserve">。</w:t>
      </w:r>
    </w:p>
    <w:p>
      <w:pPr>
        <w:pStyle w:val="闻政-正文三级标题"/>
        <w:widowControl w:val="0"/>
        <w:spacing w:line="520" w:lineRule="exact"/>
        <w:ind w:left="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3.绩效评价方法</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本次评价采用定量与定性评价相结合的比较法、文献法、公众评判法等方法，总分由各项指标得分汇总形成。</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（1）项目决策方面：</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立项依据充分性：比较法、文献法，查找法律法规政策以及规划，对比实际执行内容和政策支持内容是否匹配。</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立项程序规范性：比较法、文献法，查找相关项目设立的政策和文件要求，对比分析实际执行程序是否按照政策及文件要求执行，分析立项程序的规范性。</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绩效目标合理性：比较法，对比分析年初编制项目支出绩效目标表与项目内容的相关性、资金的匹配性等。</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绩效指标明确性：比较法，比较分析年初编制项目支出绩效目标表是否符合双七原则，是否可衡量。</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预算编制科学性：成本效益分析法，分析在产出一定的情况下，成本取值是否有依据，是否经过询价，是否按照市场最低成本编制。</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资金分配合理性：因素分析法，综合分析资金的分配依据是否充分，分配金额是否与项目实施单位需求金额一致。</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（2）项目过程方面</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资金到位率：比较法，资金到位率预期指标值应为100%，通过实际计算，分析实际完成值和预期指标值之间的差距和原因。</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预算执行率：比较法，预算执行率预期指标值应为100%，通过实际计算，分析实际完成值和预期指标值之间的差距和原因。</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资金使用合规性：文献法、实地勘察法，一是查找资金管理办法，包括专项资金管理办法和单位自有资金管理办法；二是通过查账了解具体开支情况，是否专款专用，是否按照标准支出。</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管理制度健全性：文献法、比较法，查阅项目实施人员提供的财务和业务管理制度，将已建立的制度与现行的法律法规和政策要求进行对比，分析项目制度的合法性、合规性、完整性。</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制度执行有效性：比较法，结合项目实际实施过程性文件，根据已建设的财务管理制度和项目管理制度综合分析制度执行的有效性。</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（3）项目产出方面</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（4）项目效益方面</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公众评判法、实地勘察法，通过实地勘察、问卷及抽样调查等方式评价本项目实施后社会公众或服务对象对项目实施效果的满意程度。</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pStyle w:val="闻政-正文三级标题"/>
        <w:widowControl w:val="0"/>
        <w:spacing w:line="520" w:lineRule="exact"/>
        <w:ind w:left="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4.绩效评价标准</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计划标准：指以预先制定的目标、计划、预算、定额等作为评价标准。</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行业标准：指参照国家公布的行业指标数据制定的评价标准。</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历史标准：指参照历史数据制定的评价标准，为体现绩效改进的原则，在可实现的条件下应当确定相对较高的评价标准。</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w:t>
      </w:r>
      <w:r>
        <w:rPr>
          <w:rFonts w:ascii="仿宋_GB2312" w:hAnsi="仿宋_GB2312" w:cs="仿宋_GB2312" w:hint="eastAsia"/>
          <w:color w:val="auto"/>
          <w:highlight w:val="none"/>
        </w:rPr>
        <w:t xml:space="preserve">城乡义务教育补助经费项目（公用经费）</w:t>
      </w:r>
      <w:r>
        <w:rPr>
          <w:rFonts w:ascii="仿宋_GB2312" w:hAnsi="仿宋_GB2312" w:cs="仿宋_GB2312" w:hint="eastAsia"/>
          <w:color w:val="auto"/>
          <w:highlight w:val="none"/>
        </w:rPr>
        <w:t xml:space="preserve">”采用的是计划标准，以事先制定的目标、计划、预算、定额等预计数据作为评价财政支出绩效的标准。通过将实际完成值与预定数据进行对比，发现偏差及时通知实施单位进行限期整改并反馈整改情况。</w:t>
      </w:r>
    </w:p>
    <w:p>
      <w:pPr>
        <w:pStyle w:val="闻政-正文二级标题"/>
        <w:keepNext w:val="0"/>
        <w:keepLines w:val="0"/>
        <w:spacing w:line="520" w:lineRule="exact"/>
        <w:ind w:left="560"/>
        <w:jc w:val="both"/>
        <w:rPr>
          <w:rFonts w:ascii="仿宋_GB2312" w:hAnsi="仿宋_GB2312" w:cs="仿宋_GB2312" w:hint="eastAsia"/>
          <w:color w:val="auto"/>
          <w:highlight w:val="none"/>
        </w:rPr>
      </w:pPr>
      <w:bookmarkStart w:id="60" w:name="_Toc12413_WPSOffice_Level2"/>
      <w:bookmarkStart w:id="61" w:name="_Toc19104_WPSOffice_Level2"/>
      <w:bookmarkStart w:id="62" w:name="_Toc12894"/>
      <w:bookmarkStart w:id="63" w:name="_Toc20415"/>
      <w:bookmarkStart w:id="64" w:name="_Toc127054589"/>
      <w:bookmarkStart w:id="65" w:name="_Toc26838"/>
      <w:bookmarkStart w:id="66" w:name="_Toc31508"/>
      <w:bookmarkStart w:id="67" w:name="_Toc22357"/>
      <w:bookmarkStart w:id="68" w:name="_Toc17200"/>
      <w:bookmarkStart w:id="69" w:name="_Toc26233_WPSOffice_Level2"/>
      <w:r>
        <w:rPr>
          <w:rFonts w:ascii="仿宋_GB2312" w:hAnsi="仿宋_GB2312" w:cs="仿宋_GB2312" w:hint="eastAsia"/>
          <w:color w:val="auto"/>
          <w:highlight w:val="none"/>
        </w:rPr>
        <w:t xml:space="preserve">（三）绩效评价工作过程</w:t>
      </w:r>
      <w:bookmarkEnd w:id="60"/>
      <w:bookmarkEnd w:id="61"/>
      <w:bookmarkEnd w:id="62"/>
      <w:bookmarkEnd w:id="63"/>
      <w:bookmarkEnd w:id="64"/>
      <w:bookmarkEnd w:id="65"/>
      <w:bookmarkEnd w:id="66"/>
      <w:bookmarkEnd w:id="67"/>
      <w:bookmarkEnd w:id="68"/>
      <w:bookmarkEnd w:id="69"/>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本次评价设计了评价方案、评价指标体系，通过资料分析、调研、访谈满意度调查等方式形成评价结论，在与项目单位沟通后确定评价意见，并出具评价报告。</w:t>
      </w:r>
    </w:p>
    <w:p>
      <w:pPr>
        <w:pStyle w:val="闻政-正文段落文字"/>
        <w:spacing w:line="520" w:lineRule="exact"/>
        <w:ind w:firstLine="562"/>
        <w:rPr>
          <w:rFonts w:ascii="仿宋_GB2312" w:hAnsi="仿宋_GB2312" w:cs="仿宋_GB2312" w:hint="eastAsia"/>
          <w:b/>
          <w:bCs/>
          <w:color w:val="auto"/>
          <w:highlight w:val="none"/>
        </w:rPr>
      </w:pPr>
      <w:r>
        <w:rPr>
          <w:rFonts w:ascii="仿宋_GB2312" w:hAnsi="仿宋_GB2312" w:cs="仿宋_GB2312" w:hint="eastAsia"/>
          <w:b/>
          <w:bCs/>
          <w:color w:val="auto"/>
          <w:highlight w:val="none"/>
        </w:rPr>
        <w:t xml:space="preserve">1.前期准备阶段（2025年1月16日—1月18日）</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作为绩效评价工作具体实施机构，绩效评价组成员构成如下：</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吾斯曼·库都斯</w:t>
      </w:r>
      <w:r>
        <w:rPr>
          <w:rFonts w:ascii="仿宋_GB2312" w:hAnsi="仿宋_GB2312" w:cs="仿宋_GB2312"/>
          <w:color w:val="auto"/>
          <w:highlight w:val="none"/>
        </w:rPr>
        <w:t xml:space="preserve">任</w:t>
      </w:r>
      <w:r>
        <w:rPr>
          <w:rFonts w:ascii="仿宋_GB2312" w:hAnsi="仿宋_GB2312" w:cs="仿宋_GB2312" w:hint="eastAsia"/>
          <w:color w:val="auto"/>
          <w:highlight w:val="none"/>
        </w:rPr>
        <w:t xml:space="preserve">绩效</w:t>
      </w:r>
      <w:r>
        <w:rPr>
          <w:rFonts w:ascii="仿宋_GB2312" w:hAnsi="仿宋_GB2312" w:cs="仿宋_GB2312"/>
          <w:color w:val="auto"/>
          <w:highlight w:val="none"/>
        </w:rPr>
        <w:t xml:space="preserve">评价组组长，绩效评价工作职责为负责全盘工作</w:t>
      </w:r>
      <w:r>
        <w:rPr>
          <w:rFonts w:ascii="仿宋_GB2312" w:hAnsi="仿宋_GB2312" w:cs="仿宋_GB2312" w:hint="eastAsia"/>
          <w:color w:val="auto"/>
          <w:highlight w:val="none"/>
        </w:rPr>
        <w:t xml:space="preserve">，</w:t>
      </w:r>
      <w:r>
        <w:rPr>
          <w:rFonts w:ascii="仿宋_GB2312" w:hAnsi="仿宋_GB2312" w:cs="仿宋_GB2312"/>
          <w:color w:val="auto"/>
          <w:highlight w:val="none"/>
        </w:rPr>
        <w:t xml:space="preserve">对项目实施情况进行实地调查。</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王胜朝、王海峰、李玉光、姜兴乐、苗亮、苟亚军、魏国洪、汤建梅、代丽丽</w:t>
      </w:r>
      <w:r>
        <w:rPr>
          <w:rFonts w:ascii="仿宋_GB2312" w:hAnsi="仿宋_GB2312" w:cs="仿宋_GB2312"/>
          <w:color w:val="auto"/>
          <w:highlight w:val="none"/>
        </w:rPr>
        <w:t xml:space="preserve">任</w:t>
      </w:r>
      <w:r>
        <w:rPr>
          <w:rFonts w:ascii="仿宋_GB2312" w:hAnsi="仿宋_GB2312" w:cs="仿宋_GB2312" w:hint="eastAsia"/>
          <w:color w:val="auto"/>
          <w:highlight w:val="none"/>
        </w:rPr>
        <w:t xml:space="preserve">绩效</w:t>
      </w:r>
      <w:r>
        <w:rPr>
          <w:rFonts w:ascii="仿宋_GB2312" w:hAnsi="仿宋_GB2312" w:cs="仿宋_GB2312"/>
          <w:color w:val="auto"/>
          <w:highlight w:val="none"/>
        </w:rPr>
        <w:t xml:space="preserve">评价组成员，绩效评价工作职责</w:t>
      </w:r>
      <w:r>
        <w:rPr>
          <w:rFonts w:ascii="仿宋_GB2312" w:hAnsi="仿宋_GB2312" w:cs="仿宋_GB2312" w:hint="eastAsia"/>
          <w:color w:val="auto"/>
          <w:highlight w:val="none"/>
        </w:rPr>
        <w:t xml:space="preserve">对</w:t>
      </w:r>
      <w:r>
        <w:rPr>
          <w:rFonts w:ascii="仿宋_GB2312" w:hAnsi="仿宋_GB2312" w:cs="仿宋_GB2312"/>
          <w:color w:val="auto"/>
          <w:highlight w:val="none"/>
        </w:rPr>
        <w:t xml:space="preserve">项目实施情况进行实地调查</w:t>
      </w:r>
      <w:r>
        <w:rPr>
          <w:rFonts w:ascii="仿宋_GB2312" w:hAnsi="仿宋_GB2312" w:cs="仿宋_GB2312" w:hint="eastAsia"/>
          <w:color w:val="auto"/>
          <w:highlight w:val="none"/>
        </w:rPr>
        <w:t xml:space="preserve">，</w:t>
      </w:r>
      <w:r>
        <w:rPr>
          <w:rFonts w:ascii="仿宋_GB2312" w:hAnsi="仿宋_GB2312" w:cs="仿宋_GB2312"/>
          <w:color w:val="auto"/>
          <w:highlight w:val="none"/>
        </w:rPr>
        <w:t xml:space="preserve">负责资料审核等工作。</w:t>
      </w:r>
    </w:p>
    <w:p>
      <w:pPr>
        <w:pStyle w:val="闻政-正文段落文字"/>
        <w:spacing w:line="520" w:lineRule="exact"/>
        <w:ind w:firstLine="562"/>
        <w:rPr>
          <w:rFonts w:ascii="仿宋_GB2312" w:hAnsi="仿宋_GB2312" w:cs="仿宋_GB2312" w:hint="eastAsia"/>
          <w:b/>
          <w:bCs/>
          <w:color w:val="auto"/>
          <w:highlight w:val="none"/>
        </w:rPr>
      </w:pPr>
      <w:r>
        <w:rPr>
          <w:rFonts w:ascii="仿宋_GB2312" w:hAnsi="仿宋_GB2312" w:cs="仿宋_GB2312" w:hint="eastAsia"/>
          <w:b/>
          <w:bCs/>
          <w:color w:val="auto"/>
          <w:highlight w:val="none"/>
        </w:rPr>
        <w:t xml:space="preserve">2.组织实施阶段（2025年1月19日—2月10日）</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p>
    <w:p>
      <w:pPr>
        <w:pStyle w:val="闻政-正文段落文字"/>
        <w:spacing w:line="520" w:lineRule="exact"/>
        <w:ind w:firstLine="562"/>
        <w:rPr>
          <w:rFonts w:ascii="仿宋_GB2312" w:hAnsi="仿宋_GB2312" w:cs="仿宋_GB2312" w:hint="eastAsia"/>
          <w:b/>
          <w:bCs/>
          <w:color w:val="auto"/>
          <w:highlight w:val="none"/>
        </w:rPr>
      </w:pPr>
      <w:r>
        <w:rPr>
          <w:rFonts w:ascii="仿宋_GB2312" w:hAnsi="仿宋_GB2312" w:cs="仿宋_GB2312" w:hint="eastAsia"/>
          <w:b/>
          <w:bCs/>
          <w:color w:val="auto"/>
          <w:highlight w:val="none"/>
        </w:rPr>
        <w:t xml:space="preserve">3.分析评价阶段（2025年2月11日—2月15日）</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绩效评价组根据收集梳理的资料围绕项目立项、资金落实、业务管理、财务管理、项目产出、项目效益等内容，对照已确定的绩效评价指标进行详细全面的分析评价，逐项打分并形成绩效评价最终结果。</w:t>
      </w:r>
    </w:p>
    <w:p>
      <w:pPr>
        <w:pStyle w:val="闻政-正文段落文字"/>
        <w:spacing w:line="520" w:lineRule="exact"/>
        <w:ind w:firstLine="562"/>
        <w:rPr>
          <w:rFonts w:ascii="仿宋_GB2312" w:hAnsi="仿宋_GB2312" w:cs="仿宋_GB2312" w:hint="eastAsia"/>
          <w:b/>
          <w:bCs/>
          <w:color w:val="auto"/>
          <w:highlight w:val="none"/>
        </w:rPr>
      </w:pPr>
      <w:r>
        <w:rPr>
          <w:rFonts w:ascii="仿宋_GB2312" w:hAnsi="仿宋_GB2312" w:cs="仿宋_GB2312" w:hint="eastAsia"/>
          <w:b/>
          <w:bCs/>
          <w:color w:val="auto"/>
          <w:highlight w:val="none"/>
        </w:rPr>
        <w:t xml:space="preserve">4.撰写与提交评价报告阶段（2025年2月16日-2月21日）</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绩效评价组根据收集项目评价资料撰写绩效评价报告。按照新疆维吾尔自治区财政绩效管理信息系统绩效评价模块中的统一格式及文本框架撰写绩效评价报告并提交审核。</w:t>
      </w:r>
    </w:p>
    <w:p>
      <w:pPr>
        <w:pStyle w:val="闻政-正文段落文字"/>
        <w:spacing w:line="520" w:lineRule="exact"/>
        <w:ind w:firstLine="562"/>
        <w:rPr>
          <w:rFonts w:ascii="仿宋_GB2312" w:hAnsi="仿宋_GB2312" w:cs="仿宋_GB2312" w:hint="eastAsia"/>
          <w:b/>
          <w:bCs/>
          <w:color w:val="auto"/>
          <w:highlight w:val="none"/>
        </w:rPr>
      </w:pPr>
      <w:r>
        <w:rPr>
          <w:rFonts w:ascii="仿宋_GB2312" w:hAnsi="仿宋_GB2312" w:cs="仿宋_GB2312" w:hint="eastAsia"/>
          <w:b/>
          <w:bCs/>
          <w:color w:val="auto"/>
          <w:highlight w:val="none"/>
        </w:rPr>
        <w:t xml:space="preserve">5.归集档案阶段（2025年2月22日-2月28日）</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建立和落实档案管理制度，由绩效评价组将项目相关资料存档，包括但不限于：评价项目基本情况和相关文件、评价实施方案、项目支付资料等相关档案。</w:t>
      </w:r>
    </w:p>
    <w:p>
      <w:pPr>
        <w:pStyle w:val="闻政-正文一级标题"/>
        <w:keepNext w:val="0"/>
        <w:keepLines w:val="0"/>
        <w:spacing w:line="520" w:lineRule="exact"/>
        <w:ind w:firstLine="640" w:firstLineChars="200"/>
        <w:jc w:val="both"/>
        <w:rPr>
          <w:rFonts w:hint="eastAsia"/>
          <w:color w:val="auto"/>
          <w:highlight w:val="none"/>
        </w:rPr>
      </w:pPr>
      <w:bookmarkStart w:id="70" w:name="_Toc25359"/>
      <w:bookmarkStart w:id="71" w:name="_Toc127054590"/>
      <w:bookmarkStart w:id="72" w:name="_Toc1686_WPSOffice_Level1"/>
      <w:bookmarkStart w:id="73" w:name="_Toc32607_WPSOffice_Level1"/>
      <w:bookmarkStart w:id="74" w:name="_Toc4810"/>
      <w:bookmarkStart w:id="75" w:name="_Toc23928_WPSOffice_Level1"/>
      <w:bookmarkStart w:id="76" w:name="_Toc5081"/>
      <w:bookmarkStart w:id="77" w:name="_Toc7014"/>
      <w:bookmarkStart w:id="78" w:name="_Toc16646"/>
      <w:bookmarkStart w:id="79" w:name="_Toc1597"/>
      <w:r>
        <w:rPr>
          <w:rFonts w:hint="eastAsia"/>
          <w:color w:val="auto"/>
          <w:highlight w:val="none"/>
        </w:rPr>
        <w:t xml:space="preserve">三、综合评价情况及评价结论</w:t>
      </w:r>
      <w:bookmarkEnd w:id="70"/>
      <w:bookmarkEnd w:id="71"/>
      <w:bookmarkEnd w:id="72"/>
      <w:bookmarkEnd w:id="73"/>
      <w:bookmarkEnd w:id="74"/>
      <w:bookmarkEnd w:id="75"/>
      <w:bookmarkEnd w:id="76"/>
      <w:bookmarkEnd w:id="77"/>
      <w:bookmarkEnd w:id="78"/>
      <w:bookmarkEnd w:id="79"/>
    </w:p>
    <w:p>
      <w:pPr>
        <w:pStyle w:val="闻政-正文二级标题"/>
        <w:keepNext w:val="0"/>
        <w:keepLines w:val="0"/>
        <w:spacing w:line="520" w:lineRule="exact"/>
        <w:ind w:left="560"/>
        <w:jc w:val="both"/>
        <w:rPr>
          <w:color w:val="auto"/>
          <w:highlight w:val="none"/>
        </w:rPr>
      </w:pPr>
      <w:bookmarkStart w:id="80" w:name="_Toc30078"/>
      <w:bookmarkStart w:id="81" w:name="_Toc24395"/>
      <w:bookmarkStart w:id="82" w:name="_Toc15650_WPSOffice_Level2"/>
      <w:bookmarkStart w:id="83" w:name="_Toc6425"/>
      <w:bookmarkStart w:id="84" w:name="_Toc22637"/>
      <w:bookmarkStart w:id="85" w:name="_Toc4710"/>
      <w:bookmarkStart w:id="86" w:name="_Toc127054591"/>
      <w:bookmarkStart w:id="87" w:name="_Toc1796"/>
      <w:bookmarkStart w:id="88" w:name="_Toc28208_WPSOffice_Level2"/>
      <w:bookmarkStart w:id="89" w:name="_Toc5941_WPSOffice_Level2"/>
      <w:r>
        <w:rPr>
          <w:rFonts w:hint="eastAsia"/>
          <w:color w:val="auto"/>
          <w:highlight w:val="none"/>
        </w:rPr>
        <w:t xml:space="preserve">（一）综合评价情况</w:t>
      </w:r>
      <w:bookmarkEnd w:id="80"/>
      <w:bookmarkEnd w:id="81"/>
      <w:bookmarkEnd w:id="82"/>
      <w:bookmarkEnd w:id="83"/>
      <w:bookmarkEnd w:id="84"/>
      <w:bookmarkEnd w:id="85"/>
      <w:bookmarkEnd w:id="86"/>
      <w:bookmarkEnd w:id="87"/>
      <w:bookmarkEnd w:id="88"/>
      <w:bookmarkEnd w:id="89"/>
    </w:p>
    <w:p>
      <w:pPr>
        <w:pStyle w:val="闻政-正文段落文字"/>
        <w:spacing w:line="520" w:lineRule="exact"/>
        <w:ind w:firstLine="560"/>
        <w:rPr>
          <w:color w:val="auto"/>
          <w:highlight w:val="none"/>
        </w:rPr>
      </w:pPr>
      <w:r>
        <w:rPr>
          <w:rFonts w:hint="eastAsia"/>
          <w:color w:val="auto"/>
          <w:highlight w:val="none"/>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在项目决策方面：立项符合国家法律法规、国民经济发展规划和相关政策，项目立项依据充分。项目按照规定的程序申请，经过必要的研究、论证和评估，立项程序规范。</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在项目管理方面：</w:t>
      </w:r>
      <w:r>
        <w:rPr>
          <w:rFonts w:ascii="仿宋_GB2312" w:hAnsi="仿宋_GB2312" w:cs="仿宋_GB2312" w:hint="eastAsia"/>
          <w:color w:val="auto"/>
          <w:highlight w:val="none"/>
        </w:rPr>
        <w:t xml:space="preserve">本项目预算安排</w:t>
      </w:r>
      <w:r>
        <w:rPr>
          <w:rFonts w:ascii="仿宋_GB2312" w:hAnsi="仿宋_GB2312" w:cs="仿宋_GB2312"/>
          <w:color w:val="auto"/>
          <w:highlight w:val="none"/>
        </w:rPr>
        <w:t xml:space="preserve">3880.76</w:t>
      </w:r>
      <w:r>
        <w:rPr>
          <w:rFonts w:ascii="仿宋_GB2312" w:hAnsi="仿宋_GB2312" w:cs="仿宋_GB2312" w:hint="eastAsia"/>
          <w:color w:val="auto"/>
          <w:highlight w:val="none"/>
        </w:rPr>
        <w:t xml:space="preserve">万元，实际支出</w:t>
      </w:r>
      <w:r>
        <w:rPr>
          <w:rFonts w:ascii="仿宋_GB2312" w:hAnsi="仿宋_GB2312" w:cs="仿宋_GB2312"/>
          <w:color w:val="auto"/>
          <w:highlight w:val="none"/>
        </w:rPr>
        <w:t xml:space="preserve">3880.76</w:t>
      </w:r>
      <w:r>
        <w:rPr>
          <w:rFonts w:ascii="仿宋_GB2312" w:hAnsi="仿宋_GB2312" w:cs="仿宋_GB2312" w:hint="eastAsia"/>
          <w:color w:val="auto"/>
          <w:highlight w:val="none"/>
        </w:rPr>
        <w:t xml:space="preserve">万元，预算执行率</w:t>
      </w:r>
      <w:r>
        <w:rPr>
          <w:rFonts w:ascii="仿宋_GB2312" w:hAnsi="仿宋_GB2312" w:cs="仿宋_GB2312" w:hint="eastAsia"/>
          <w:color w:val="auto"/>
          <w:highlight w:val="none"/>
        </w:rPr>
        <w:t xml:space="preserve">100%</w:t>
      </w:r>
      <w:r>
        <w:rPr>
          <w:rFonts w:ascii="仿宋_GB2312" w:hAnsi="仿宋_GB2312" w:cs="仿宋_GB2312" w:hint="eastAsia"/>
          <w:color w:val="auto"/>
          <w:highlight w:val="none"/>
        </w:rPr>
        <w:t xml:space="preserve">。</w:t>
      </w:r>
      <w:r>
        <w:rPr>
          <w:rFonts w:ascii="仿宋_GB2312" w:hAnsi="仿宋_GB2312" w:cs="仿宋_GB2312" w:hint="eastAsia"/>
          <w:color w:val="auto"/>
          <w:highlight w:val="none"/>
        </w:rPr>
        <w:t xml:space="preserve">项目资金使用合规，项目财务管理制度健全，财务监控到位，所有资金支付均按照</w:t>
      </w:r>
      <w:r>
        <w:rPr>
          <w:rFonts w:ascii="仿宋_GB2312" w:hAnsi="仿宋_GB2312" w:cs="仿宋_GB2312" w:hint="eastAsia"/>
          <w:color w:val="auto"/>
          <w:highlight w:val="none"/>
        </w:rPr>
        <w:t xml:space="preserve">国库集中支付制度</w:t>
      </w:r>
      <w:r>
        <w:rPr>
          <w:rFonts w:ascii="仿宋_GB2312" w:hAnsi="仿宋_GB2312" w:cs="仿宋_GB2312" w:hint="eastAsia"/>
          <w:color w:val="auto"/>
          <w:highlight w:val="none"/>
        </w:rPr>
        <w:t xml:space="preserve">严格执行，现有项目管理制度执行情况良好。</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在项目效果方面：</w:t>
      </w:r>
      <w:r>
        <w:rPr>
          <w:rFonts w:ascii="仿宋_GB2312" w:hAnsi="仿宋_GB2312" w:cs="仿宋_GB2312" w:hint="eastAsia"/>
          <w:color w:val="auto"/>
          <w:highlight w:val="none"/>
        </w:rPr>
        <w:t xml:space="preserve">项目已完成岳普湖县全年义务教育阶段学校公用经费保障任务，生均公用经费保障学生数量35620人。资金主要用于义务教育阶段小学学生、初中学生、寄宿生、随班就读学生、小规模学校对按照人数和学校数量对义务教育阶段各学校进行公用经费补贴。对义务教育学校按照学生人数对学校进行采暖费补贴，保障义务教育阶段公用经费政策全覆盖，享受免费教科书政策的学生全覆盖。农村学校校舍日常维修改造质量达标率100%。预算执行率100%。通过项目的实施有效减轻学生家庭经济负担，维护学校正常运转能力，改善学校办学条件，为义务教育阶段学校正常运转、完成教育教学活动和其他日常工作提供保障。项目的受益人员满意度为100%。</w:t>
      </w:r>
    </w:p>
    <w:p>
      <w:pPr>
        <w:pStyle w:val="闻政-正文二级标题"/>
        <w:keepNext w:val="0"/>
        <w:keepLines w:val="0"/>
        <w:spacing w:line="520" w:lineRule="exact"/>
        <w:ind w:left="560"/>
        <w:jc w:val="both"/>
        <w:rPr>
          <w:color w:val="auto"/>
          <w:highlight w:val="none"/>
        </w:rPr>
      </w:pPr>
      <w:bookmarkStart w:id="90" w:name="_Toc6175"/>
      <w:bookmarkStart w:id="91" w:name="_Toc5518"/>
      <w:bookmarkStart w:id="92" w:name="_Toc20924_WPSOffice_Level2"/>
      <w:bookmarkStart w:id="93" w:name="_Toc24314"/>
      <w:bookmarkStart w:id="94" w:name="_Toc5858"/>
      <w:bookmarkStart w:id="95" w:name="_Toc30582_WPSOffice_Level2"/>
      <w:bookmarkStart w:id="96" w:name="_Toc127054592"/>
      <w:bookmarkStart w:id="97" w:name="_Toc7246"/>
      <w:bookmarkStart w:id="98" w:name="_Toc19466"/>
      <w:bookmarkStart w:id="99" w:name="_Toc25689_WPSOffice_Level2"/>
      <w:r>
        <w:rPr>
          <w:rFonts w:hint="eastAsia"/>
          <w:color w:val="auto"/>
          <w:highlight w:val="none"/>
        </w:rPr>
        <w:t xml:space="preserve">（二）综合评价结论</w:t>
      </w:r>
      <w:bookmarkEnd w:id="90"/>
      <w:bookmarkEnd w:id="91"/>
      <w:bookmarkEnd w:id="92"/>
      <w:bookmarkEnd w:id="93"/>
      <w:bookmarkEnd w:id="94"/>
      <w:bookmarkEnd w:id="95"/>
      <w:bookmarkEnd w:id="96"/>
      <w:bookmarkEnd w:id="97"/>
      <w:bookmarkEnd w:id="98"/>
      <w:bookmarkEnd w:id="99"/>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本项目最终评分结果：总得分为</w:t>
      </w:r>
      <w:r>
        <w:rPr>
          <w:rFonts w:ascii="仿宋_GB2312" w:hAnsi="仿宋_GB2312" w:cs="仿宋_GB2312" w:hint="eastAsia"/>
          <w:color w:val="auto"/>
          <w:highlight w:val="none"/>
        </w:rPr>
        <w:t xml:space="preserve">100</w:t>
      </w:r>
      <w:r>
        <w:rPr>
          <w:rFonts w:ascii="仿宋_GB2312" w:hAnsi="仿宋_GB2312" w:cs="仿宋_GB2312" w:hint="eastAsia"/>
          <w:color w:val="auto"/>
          <w:highlight w:val="none"/>
        </w:rPr>
        <w:t xml:space="preserve">分，绩效评级为“</w:t>
      </w:r>
      <w:r>
        <w:rPr>
          <w:rFonts w:ascii="仿宋_GB2312" w:hAnsi="仿宋_GB2312" w:cs="仿宋_GB2312" w:hint="eastAsia"/>
          <w:color w:val="auto"/>
          <w:highlight w:val="none"/>
        </w:rPr>
        <w:t xml:space="preserve">优</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具体得分情况如下:</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1.项目决策指标权重为20分，</w:t>
      </w:r>
      <w:r>
        <w:rPr>
          <w:rFonts w:ascii="仿宋_GB2312" w:hAnsi="仿宋_GB2312" w:cs="仿宋_GB2312" w:hint="eastAsia"/>
          <w:color w:val="auto"/>
          <w:highlight w:val="none"/>
        </w:rPr>
        <w:t xml:space="preserve">得分为</w:t>
      </w:r>
      <w:r>
        <w:rPr>
          <w:rFonts w:ascii="仿宋_GB2312" w:hAnsi="仿宋_GB2312" w:cs="仿宋_GB2312" w:hint="eastAsia"/>
          <w:color w:val="auto"/>
          <w:highlight w:val="none"/>
        </w:rPr>
        <w:t xml:space="preserve">20</w:t>
      </w:r>
      <w:r>
        <w:rPr>
          <w:rFonts w:ascii="仿宋_GB2312" w:hAnsi="仿宋_GB2312" w:cs="仿宋_GB2312" w:hint="eastAsia"/>
          <w:color w:val="auto"/>
          <w:highlight w:val="none"/>
        </w:rPr>
        <w:t xml:space="preserve">分，得分率为</w:t>
      </w:r>
      <w:r>
        <w:rPr>
          <w:rFonts w:ascii="仿宋_GB2312" w:hAnsi="仿宋_GB2312" w:cs="仿宋_GB2312" w:hint="eastAsia"/>
          <w:color w:val="auto"/>
          <w:highlight w:val="none"/>
        </w:rPr>
        <w:t xml:space="preserve">100</w:t>
      </w:r>
      <w:r>
        <w:rPr>
          <w:rFonts w:ascii="仿宋_GB2312" w:hAnsi="仿宋_GB2312" w:cs="仿宋_GB2312" w:hint="eastAsia"/>
          <w:color w:val="auto"/>
          <w:highlight w:val="none"/>
        </w:rPr>
        <w:t xml:space="preserve">%</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2.项目过程指标权重为15分，</w:t>
      </w:r>
      <w:r>
        <w:rPr>
          <w:rFonts w:ascii="仿宋_GB2312" w:hAnsi="仿宋_GB2312" w:cs="仿宋_GB2312" w:hint="eastAsia"/>
          <w:color w:val="auto"/>
          <w:highlight w:val="none"/>
        </w:rPr>
        <w:t xml:space="preserve">得分为</w:t>
      </w:r>
      <w:r>
        <w:rPr>
          <w:rFonts w:ascii="仿宋_GB2312" w:hAnsi="仿宋_GB2312" w:cs="仿宋_GB2312" w:hint="eastAsia"/>
          <w:color w:val="auto"/>
          <w:highlight w:val="none"/>
        </w:rPr>
        <w:t xml:space="preserve">15</w:t>
      </w:r>
      <w:r>
        <w:rPr>
          <w:rFonts w:ascii="仿宋_GB2312" w:hAnsi="仿宋_GB2312" w:cs="仿宋_GB2312" w:hint="eastAsia"/>
          <w:color w:val="auto"/>
          <w:highlight w:val="none"/>
        </w:rPr>
        <w:t xml:space="preserve">分，得分率为</w:t>
      </w:r>
      <w:r>
        <w:rPr>
          <w:rFonts w:ascii="仿宋_GB2312" w:hAnsi="仿宋_GB2312" w:cs="仿宋_GB2312" w:hint="eastAsia"/>
          <w:color w:val="auto"/>
          <w:highlight w:val="none"/>
        </w:rPr>
        <w:t xml:space="preserve">100</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3.项目产出指标权重为35分，</w:t>
      </w:r>
      <w:r>
        <w:rPr>
          <w:rFonts w:ascii="仿宋_GB2312" w:hAnsi="仿宋_GB2312" w:cs="仿宋_GB2312" w:hint="eastAsia"/>
          <w:color w:val="auto"/>
          <w:highlight w:val="none"/>
        </w:rPr>
        <w:t xml:space="preserve">得分为</w:t>
      </w:r>
      <w:r>
        <w:rPr>
          <w:rFonts w:ascii="仿宋_GB2312" w:hAnsi="仿宋_GB2312" w:cs="仿宋_GB2312" w:hint="eastAsia"/>
          <w:color w:val="auto"/>
          <w:highlight w:val="none"/>
        </w:rPr>
        <w:t xml:space="preserve">35</w:t>
      </w:r>
      <w:r>
        <w:rPr>
          <w:rFonts w:ascii="仿宋_GB2312" w:hAnsi="仿宋_GB2312" w:cs="仿宋_GB2312" w:hint="eastAsia"/>
          <w:color w:val="auto"/>
          <w:highlight w:val="none"/>
        </w:rPr>
        <w:t xml:space="preserve">分，得分率为</w:t>
      </w:r>
      <w:r>
        <w:rPr>
          <w:rFonts w:ascii="仿宋_GB2312" w:hAnsi="仿宋_GB2312" w:cs="仿宋_GB2312" w:hint="eastAsia"/>
          <w:color w:val="auto"/>
          <w:highlight w:val="none"/>
        </w:rPr>
        <w:t xml:space="preserve">100</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4.项目效益指标权重为20分，得分为20分，得分率为100%。</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5.项目满意度指标权重为10分，得分为10分，得分率为100%。</w:t>
      </w:r>
      <w:r>
        <w:rPr>
          <w:rFonts w:ascii="仿宋_GB2312" w:hAnsi="仿宋_GB2312" w:cs="仿宋_GB2312" w:hint="eastAsia"/>
          <w:color w:val="auto"/>
          <w:highlight w:val="none"/>
        </w:rPr>
        <w:t xml:space="preserve">具体打分情况详见：附件1综合评分表。</w:t>
      </w:r>
    </w:p>
    <w:p>
      <w:pPr>
        <w:pStyle w:val="闻政-正文段落文字"/>
        <w:spacing w:line="200" w:lineRule="atLeast"/>
        <w:ind w:firstLine="562"/>
        <w:jc w:val="center"/>
        <w:rPr>
          <w:b/>
          <w:bCs/>
          <w:color w:val="auto"/>
          <w:highlight w:val="none"/>
        </w:rPr>
      </w:pPr>
      <w:bookmarkStart w:id="100" w:name="_Toc25446_WPSOffice_Level2"/>
      <w:bookmarkStart w:id="101" w:name="_Toc12641_WPSOffice_Level2"/>
      <w:bookmarkStart w:id="102" w:name="_Toc13636_WPSOffice_Level2"/>
      <w:r>
        <w:rPr>
          <w:rFonts w:hint="eastAsia"/>
          <w:b/>
          <w:bCs/>
          <w:color w:val="auto"/>
          <w:highlight w:val="none"/>
        </w:rPr>
        <w:t xml:space="preserve">项目绩效评价评分情况表</w:t>
      </w:r>
      <w:bookmarkEnd w:id="100"/>
      <w:bookmarkEnd w:id="101"/>
      <w:bookmarkEnd w:id="102"/>
    </w:p>
    <w:tbl>
      <w:tblPr>
        <w:tblStyle w:val="NormalTable"/>
        <w:tblW w:w="8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65"/>
        <w:gridCol w:w="1275"/>
        <w:gridCol w:w="1335"/>
        <w:gridCol w:w="1292"/>
        <w:gridCol w:w="1291"/>
        <w:gridCol w:w="1569"/>
        <w:gridCol w:w="1009"/>
      </w:tblGrid>
      <w:tr>
        <w:tblPrEx>
          <w:tblW w:w="8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545"/>
          <w:tblHeader/>
          <w:jc w:val="center"/>
        </w:trPr>
        <w:tc>
          <w:tcPr>
            <w:tcW w:w="865" w:type="dxa"/>
            <w:tcBorders>
              <w:bottom w:val="single" w:sz="4" w:space="0" w:color="auto"/>
            </w:tcBorders>
            <w:vAlign w:val="center"/>
          </w:tcPr>
          <w:p>
            <w:pPr>
              <w:pStyle w:val="闻政表"/>
              <w:spacing w:line="200" w:lineRule="atLeast"/>
              <w:ind w:firstLine="0" w:firstLineChars="0"/>
              <w:rPr>
                <w:rFonts w:ascii="仿宋_GB2312" w:cs="Times New Roman"/>
                <w:color w:val="auto"/>
                <w:sz w:val="21"/>
                <w:szCs w:val="21"/>
                <w:highlight w:val="none"/>
              </w:rPr>
            </w:pPr>
            <w:r>
              <w:rPr>
                <w:rFonts w:ascii="仿宋_GB2312" w:cs="Times New Roman" w:hint="eastAsia"/>
                <w:color w:val="auto"/>
                <w:sz w:val="21"/>
                <w:szCs w:val="21"/>
                <w:highlight w:val="none"/>
              </w:rPr>
              <w:t xml:space="preserve">指 标</w:t>
            </w:r>
          </w:p>
        </w:tc>
        <w:tc>
          <w:tcPr>
            <w:tcW w:w="1275" w:type="dxa"/>
            <w:tcBorders>
              <w:bottom w:val="single" w:sz="4" w:space="0" w:color="auto"/>
            </w:tcBorders>
            <w:vAlign w:val="center"/>
          </w:tcPr>
          <w:p>
            <w:pPr>
              <w:pStyle w:val="闻政表"/>
              <w:spacing w:line="200" w:lineRule="atLeast"/>
              <w:ind w:firstLine="0" w:firstLineChars="0"/>
              <w:rPr>
                <w:rFonts w:ascii="仿宋_GB2312" w:cs="Times New Roman"/>
                <w:color w:val="auto"/>
                <w:sz w:val="21"/>
                <w:szCs w:val="21"/>
                <w:highlight w:val="none"/>
              </w:rPr>
            </w:pPr>
            <w:r>
              <w:rPr>
                <w:rFonts w:ascii="仿宋_GB2312" w:cs="Times New Roman" w:hint="eastAsia"/>
                <w:color w:val="auto"/>
                <w:sz w:val="21"/>
                <w:szCs w:val="21"/>
                <w:highlight w:val="none"/>
              </w:rPr>
              <w:t xml:space="preserve">A.项目决策</w:t>
            </w:r>
          </w:p>
        </w:tc>
        <w:tc>
          <w:tcPr>
            <w:tcW w:w="1335" w:type="dxa"/>
            <w:tcBorders>
              <w:bottom w:val="single" w:sz="4" w:space="0" w:color="auto"/>
            </w:tcBorders>
            <w:vAlign w:val="center"/>
          </w:tcPr>
          <w:p>
            <w:pPr>
              <w:pStyle w:val="闻政表"/>
              <w:spacing w:line="200" w:lineRule="atLeast"/>
              <w:ind w:firstLine="0" w:firstLineChars="0"/>
              <w:rPr>
                <w:rFonts w:ascii="仿宋_GB2312" w:cs="Times New Roman"/>
                <w:color w:val="auto"/>
                <w:sz w:val="21"/>
                <w:szCs w:val="21"/>
                <w:highlight w:val="none"/>
              </w:rPr>
            </w:pPr>
            <w:r>
              <w:rPr>
                <w:rFonts w:ascii="仿宋_GB2312" w:cs="Times New Roman" w:hint="eastAsia"/>
                <w:color w:val="auto"/>
                <w:sz w:val="21"/>
                <w:szCs w:val="21"/>
                <w:highlight w:val="none"/>
              </w:rPr>
              <w:t xml:space="preserve">B.项目过程</w:t>
            </w:r>
          </w:p>
        </w:tc>
        <w:tc>
          <w:tcPr>
            <w:tcW w:w="1292" w:type="dxa"/>
            <w:tcBorders>
              <w:bottom w:val="single" w:sz="4" w:space="0" w:color="auto"/>
            </w:tcBorders>
            <w:vAlign w:val="center"/>
          </w:tcPr>
          <w:p>
            <w:pPr>
              <w:pStyle w:val="闻政表"/>
              <w:spacing w:line="200" w:lineRule="atLeast"/>
              <w:ind w:firstLine="0" w:firstLineChars="0"/>
              <w:rPr>
                <w:rFonts w:ascii="仿宋_GB2312" w:cs="Times New Roman"/>
                <w:color w:val="auto"/>
                <w:sz w:val="21"/>
                <w:szCs w:val="21"/>
                <w:highlight w:val="none"/>
              </w:rPr>
            </w:pPr>
            <w:r>
              <w:rPr>
                <w:rFonts w:ascii="仿宋_GB2312" w:cs="Times New Roman" w:hint="eastAsia"/>
                <w:color w:val="auto"/>
                <w:sz w:val="21"/>
                <w:szCs w:val="21"/>
                <w:highlight w:val="none"/>
              </w:rPr>
              <w:t xml:space="preserve">C.项目产出</w:t>
            </w:r>
          </w:p>
        </w:tc>
        <w:tc>
          <w:tcPr>
            <w:tcW w:w="1291" w:type="dxa"/>
            <w:tcBorders>
              <w:bottom w:val="single" w:sz="4" w:space="0" w:color="auto"/>
            </w:tcBorders>
            <w:vAlign w:val="center"/>
          </w:tcPr>
          <w:p>
            <w:pPr>
              <w:pStyle w:val="闻政表"/>
              <w:spacing w:line="200" w:lineRule="atLeast"/>
              <w:ind w:firstLine="0" w:firstLineChars="0"/>
              <w:rPr>
                <w:rFonts w:ascii="仿宋_GB2312" w:cs="Times New Roman"/>
                <w:color w:val="auto"/>
                <w:sz w:val="21"/>
                <w:szCs w:val="21"/>
                <w:highlight w:val="none"/>
              </w:rPr>
            </w:pPr>
            <w:r>
              <w:rPr>
                <w:rFonts w:ascii="仿宋_GB2312" w:cs="Times New Roman" w:hint="eastAsia"/>
                <w:color w:val="auto"/>
                <w:sz w:val="21"/>
                <w:szCs w:val="21"/>
                <w:highlight w:val="none"/>
              </w:rPr>
              <w:t xml:space="preserve">D.项目效益</w:t>
            </w:r>
          </w:p>
        </w:tc>
        <w:tc>
          <w:tcPr>
            <w:tcW w:w="1569" w:type="dxa"/>
            <w:tcBorders>
              <w:bottom w:val="single" w:sz="4" w:space="0" w:color="auto"/>
            </w:tcBorders>
            <w:vAlign w:val="center"/>
          </w:tcPr>
          <w:p>
            <w:pPr>
              <w:pStyle w:val="闻政表"/>
              <w:spacing w:line="200" w:lineRule="atLeast"/>
              <w:ind w:firstLine="0" w:firstLineChars="0"/>
              <w:rPr>
                <w:rFonts w:ascii="仿宋_GB2312" w:cs="Times New Roman"/>
                <w:color w:val="auto"/>
                <w:sz w:val="21"/>
                <w:szCs w:val="21"/>
                <w:highlight w:val="none"/>
              </w:rPr>
            </w:pPr>
            <w:r>
              <w:rPr>
                <w:rFonts w:ascii="仿宋_GB2312" w:cs="Times New Roman" w:hint="eastAsia"/>
                <w:color w:val="auto"/>
                <w:sz w:val="21"/>
                <w:szCs w:val="21"/>
                <w:highlight w:val="none"/>
              </w:rPr>
              <w:t xml:space="preserve">E.项目满意度</w:t>
            </w:r>
          </w:p>
        </w:tc>
        <w:tc>
          <w:tcPr>
            <w:tcW w:w="1009" w:type="dxa"/>
            <w:tcBorders>
              <w:bottom w:val="single" w:sz="4" w:space="0" w:color="auto"/>
            </w:tcBorders>
            <w:vAlign w:val="center"/>
          </w:tcPr>
          <w:p>
            <w:pPr>
              <w:pStyle w:val="闻政表"/>
              <w:spacing w:line="200" w:lineRule="atLeast"/>
              <w:ind w:firstLine="0" w:firstLineChars="0"/>
              <w:rPr>
                <w:rFonts w:ascii="仿宋_GB2312" w:cs="Times New Roman"/>
                <w:color w:val="auto"/>
                <w:sz w:val="21"/>
                <w:szCs w:val="21"/>
                <w:highlight w:val="none"/>
              </w:rPr>
            </w:pPr>
            <w:r>
              <w:rPr>
                <w:rFonts w:ascii="仿宋_GB2312" w:cs="Times New Roman" w:hint="eastAsia"/>
                <w:color w:val="auto"/>
                <w:sz w:val="21"/>
                <w:szCs w:val="21"/>
                <w:highlight w:val="none"/>
              </w:rPr>
              <w:t xml:space="preserve">合  计</w:t>
            </w:r>
          </w:p>
        </w:tc>
      </w:tr>
      <w:tr>
        <w:tblPrEx>
          <w:tblW w:w="8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90"/>
          <w:jc w:val="center"/>
        </w:trPr>
        <w:tc>
          <w:tcPr>
            <w:tcW w:w="865" w:type="dxa"/>
            <w:vAlign w:val="center"/>
          </w:tcPr>
          <w:p>
            <w:pPr>
              <w:pStyle w:val="闻政表"/>
              <w:spacing w:line="520" w:lineRule="exact"/>
              <w:ind w:firstLine="0" w:firstLineChars="0"/>
              <w:rPr>
                <w:rFonts w:ascii="仿宋_GB2312" w:cs="Times New Roman"/>
                <w:b w:val="0"/>
                <w:color w:val="auto"/>
                <w:sz w:val="21"/>
                <w:szCs w:val="21"/>
                <w:highlight w:val="none"/>
              </w:rPr>
            </w:pPr>
            <w:r>
              <w:rPr>
                <w:rFonts w:ascii="仿宋_GB2312" w:cs="Times New Roman" w:hint="eastAsia"/>
                <w:b w:val="0"/>
                <w:color w:val="auto"/>
                <w:sz w:val="21"/>
                <w:szCs w:val="21"/>
                <w:highlight w:val="none"/>
              </w:rPr>
              <w:t xml:space="preserve">权 重</w:t>
            </w:r>
          </w:p>
        </w:tc>
        <w:tc>
          <w:tcPr>
            <w:tcW w:w="1275" w:type="dxa"/>
            <w:vAlign w:val="center"/>
          </w:tcPr>
          <w:p>
            <w:pPr>
              <w:pStyle w:val="闻政表"/>
              <w:spacing w:line="520" w:lineRule="exact"/>
              <w:ind w:firstLine="0" w:firstLineChars="0"/>
              <w:jc w:val="right"/>
              <w:rPr>
                <w:rFonts w:ascii="仿宋_GB2312" w:cs="Times New Roman"/>
                <w:b w:val="0"/>
                <w:color w:val="auto"/>
                <w:sz w:val="21"/>
                <w:szCs w:val="21"/>
                <w:highlight w:val="none"/>
              </w:rPr>
            </w:pPr>
            <w:r>
              <w:rPr>
                <w:rFonts w:ascii="仿宋_GB2312" w:cs="Times New Roman" w:hint="eastAsia"/>
                <w:b w:val="0"/>
                <w:color w:val="auto"/>
                <w:sz w:val="21"/>
                <w:szCs w:val="21"/>
                <w:highlight w:val="none"/>
              </w:rPr>
              <w:t xml:space="preserve">20.00</w:t>
            </w:r>
          </w:p>
        </w:tc>
        <w:tc>
          <w:tcPr>
            <w:tcW w:w="1335" w:type="dxa"/>
            <w:vAlign w:val="center"/>
          </w:tcPr>
          <w:p>
            <w:pPr>
              <w:pStyle w:val="闻政表"/>
              <w:spacing w:line="520" w:lineRule="exact"/>
              <w:ind w:firstLine="0" w:firstLineChars="0"/>
              <w:jc w:val="right"/>
              <w:rPr>
                <w:rFonts w:ascii="仿宋_GB2312" w:cs="Times New Roman"/>
                <w:b w:val="0"/>
                <w:color w:val="auto"/>
                <w:sz w:val="21"/>
                <w:szCs w:val="21"/>
                <w:highlight w:val="none"/>
              </w:rPr>
            </w:pPr>
            <w:r>
              <w:rPr>
                <w:rFonts w:ascii="仿宋_GB2312" w:cs="Times New Roman" w:hint="eastAsia"/>
                <w:b w:val="0"/>
                <w:color w:val="auto"/>
                <w:sz w:val="21"/>
                <w:szCs w:val="21"/>
                <w:highlight w:val="none"/>
              </w:rPr>
              <w:t xml:space="preserve">15.00</w:t>
            </w:r>
          </w:p>
        </w:tc>
        <w:tc>
          <w:tcPr>
            <w:tcW w:w="1292" w:type="dxa"/>
            <w:vAlign w:val="center"/>
          </w:tcPr>
          <w:p>
            <w:pPr>
              <w:pStyle w:val="闻政表"/>
              <w:spacing w:line="520" w:lineRule="exact"/>
              <w:ind w:firstLine="0" w:firstLineChars="0"/>
              <w:jc w:val="right"/>
              <w:rPr>
                <w:rFonts w:ascii="仿宋_GB2312" w:cs="Times New Roman"/>
                <w:b w:val="0"/>
                <w:color w:val="auto"/>
                <w:sz w:val="21"/>
                <w:szCs w:val="21"/>
                <w:highlight w:val="none"/>
              </w:rPr>
            </w:pPr>
            <w:r>
              <w:rPr>
                <w:rFonts w:ascii="仿宋_GB2312" w:cs="Times New Roman" w:hint="eastAsia"/>
                <w:b w:val="0"/>
                <w:color w:val="auto"/>
                <w:sz w:val="21"/>
                <w:szCs w:val="21"/>
                <w:highlight w:val="none"/>
              </w:rPr>
              <w:t xml:space="preserve">35.00</w:t>
            </w:r>
          </w:p>
        </w:tc>
        <w:tc>
          <w:tcPr>
            <w:tcW w:w="1291" w:type="dxa"/>
            <w:vAlign w:val="center"/>
          </w:tcPr>
          <w:p>
            <w:pPr>
              <w:pStyle w:val="闻政表"/>
              <w:spacing w:line="520" w:lineRule="exact"/>
              <w:ind w:firstLine="0" w:firstLineChars="0"/>
              <w:jc w:val="right"/>
              <w:rPr>
                <w:rFonts w:ascii="仿宋_GB2312" w:cs="Times New Roman"/>
                <w:b w:val="0"/>
                <w:color w:val="auto"/>
                <w:sz w:val="21"/>
                <w:szCs w:val="21"/>
                <w:highlight w:val="none"/>
              </w:rPr>
            </w:pPr>
            <w:r>
              <w:rPr>
                <w:rFonts w:ascii="仿宋_GB2312" w:cs="Times New Roman" w:hint="eastAsia"/>
                <w:b w:val="0"/>
                <w:color w:val="auto"/>
                <w:sz w:val="21"/>
                <w:szCs w:val="21"/>
                <w:highlight w:val="none"/>
              </w:rPr>
              <w:t xml:space="preserve">20.00</w:t>
            </w:r>
          </w:p>
        </w:tc>
        <w:tc>
          <w:tcPr>
            <w:tcW w:w="1569" w:type="dxa"/>
            <w:vAlign w:val="center"/>
          </w:tcPr>
          <w:p>
            <w:pPr>
              <w:pStyle w:val="闻政表"/>
              <w:spacing w:line="520" w:lineRule="exact"/>
              <w:ind w:firstLine="0" w:firstLineChars="0"/>
              <w:jc w:val="right"/>
              <w:rPr>
                <w:rFonts w:ascii="仿宋_GB2312" w:cs="Times New Roman"/>
                <w:b w:val="0"/>
                <w:color w:val="auto"/>
                <w:sz w:val="21"/>
                <w:szCs w:val="21"/>
                <w:highlight w:val="none"/>
              </w:rPr>
            </w:pPr>
            <w:r>
              <w:rPr>
                <w:rFonts w:ascii="仿宋_GB2312" w:cs="Times New Roman" w:hint="eastAsia"/>
                <w:b w:val="0"/>
                <w:color w:val="auto"/>
                <w:sz w:val="21"/>
                <w:szCs w:val="21"/>
                <w:highlight w:val="none"/>
              </w:rPr>
              <w:t xml:space="preserve">10.00</w:t>
            </w:r>
          </w:p>
        </w:tc>
        <w:tc>
          <w:tcPr>
            <w:tcW w:w="1009" w:type="dxa"/>
            <w:vAlign w:val="center"/>
          </w:tcPr>
          <w:p>
            <w:pPr>
              <w:pStyle w:val="闻政表"/>
              <w:spacing w:line="520" w:lineRule="exact"/>
              <w:ind w:firstLine="0" w:firstLineChars="0"/>
              <w:jc w:val="right"/>
              <w:rPr>
                <w:rFonts w:ascii="仿宋_GB2312" w:cs="Times New Roman"/>
                <w:b w:val="0"/>
                <w:color w:val="auto"/>
                <w:sz w:val="21"/>
                <w:szCs w:val="21"/>
                <w:highlight w:val="none"/>
              </w:rPr>
            </w:pPr>
            <w:r>
              <w:rPr>
                <w:rFonts w:ascii="仿宋_GB2312" w:cs="Times New Roman" w:hint="eastAsia"/>
                <w:b w:val="0"/>
                <w:color w:val="auto"/>
                <w:sz w:val="21"/>
                <w:szCs w:val="21"/>
                <w:highlight w:val="none"/>
              </w:rPr>
              <w:t xml:space="preserve">100.00</w:t>
            </w:r>
          </w:p>
        </w:tc>
      </w:tr>
      <w:tr>
        <w:tblPrEx>
          <w:tblW w:w="8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5"/>
          <w:jc w:val="center"/>
        </w:trPr>
        <w:tc>
          <w:tcPr>
            <w:tcW w:w="865" w:type="dxa"/>
            <w:vAlign w:val="center"/>
          </w:tcPr>
          <w:p>
            <w:pPr>
              <w:pStyle w:val="闻政表"/>
              <w:spacing w:line="520" w:lineRule="exact"/>
              <w:ind w:firstLine="0" w:firstLineChars="0"/>
              <w:rPr>
                <w:rFonts w:ascii="仿宋_GB2312" w:cs="Times New Roman"/>
                <w:b w:val="0"/>
                <w:color w:val="auto"/>
                <w:sz w:val="21"/>
                <w:szCs w:val="21"/>
                <w:highlight w:val="none"/>
              </w:rPr>
            </w:pPr>
            <w:r>
              <w:rPr>
                <w:rFonts w:ascii="仿宋_GB2312" w:cs="Times New Roman" w:hint="eastAsia"/>
                <w:b w:val="0"/>
                <w:color w:val="auto"/>
                <w:sz w:val="21"/>
                <w:szCs w:val="21"/>
                <w:highlight w:val="none"/>
              </w:rPr>
              <w:t xml:space="preserve">得 分</w:t>
            </w:r>
          </w:p>
        </w:tc>
        <w:tc>
          <w:tcPr>
            <w:tcW w:w="1275" w:type="dxa"/>
            <w:vAlign w:val="center"/>
          </w:tcPr>
          <w:p>
            <w:pPr>
              <w:pStyle w:val="闻政表"/>
              <w:spacing w:line="520" w:lineRule="exact"/>
              <w:ind w:firstLine="0" w:firstLineChars="0"/>
              <w:jc w:val="right"/>
              <w:rPr>
                <w:rFonts w:ascii="仿宋_GB2312" w:cs="Times New Roman"/>
                <w:b w:val="0"/>
                <w:color w:val="auto"/>
                <w:sz w:val="21"/>
                <w:szCs w:val="21"/>
                <w:highlight w:val="none"/>
              </w:rPr>
            </w:pPr>
            <w:r>
              <w:rPr>
                <w:rFonts w:ascii="仿宋_GB2312" w:cs="Times New Roman" w:hint="eastAsia"/>
                <w:b w:val="0"/>
                <w:color w:val="auto"/>
                <w:sz w:val="21"/>
                <w:szCs w:val="21"/>
                <w:highlight w:val="none"/>
              </w:rPr>
              <w:t xml:space="preserve">20.00</w:t>
            </w:r>
          </w:p>
        </w:tc>
        <w:tc>
          <w:tcPr>
            <w:tcW w:w="1335" w:type="dxa"/>
            <w:vAlign w:val="center"/>
          </w:tcPr>
          <w:p>
            <w:pPr>
              <w:pStyle w:val="闻政表"/>
              <w:spacing w:line="520" w:lineRule="exact"/>
              <w:ind w:firstLine="420"/>
              <w:jc w:val="right"/>
              <w:rPr>
                <w:rFonts w:ascii="仿宋_GB2312" w:cs="Times New Roman"/>
                <w:b w:val="0"/>
                <w:color w:val="auto"/>
                <w:sz w:val="21"/>
                <w:szCs w:val="21"/>
                <w:highlight w:val="none"/>
              </w:rPr>
            </w:pPr>
            <w:r>
              <w:rPr>
                <w:rFonts w:ascii="仿宋_GB2312" w:cs="Times New Roman" w:hint="eastAsia"/>
                <w:b w:val="0"/>
                <w:color w:val="auto"/>
                <w:sz w:val="21"/>
                <w:szCs w:val="21"/>
                <w:highlight w:val="none"/>
              </w:rPr>
              <w:t xml:space="preserve">15.00</w:t>
            </w:r>
          </w:p>
        </w:tc>
        <w:tc>
          <w:tcPr>
            <w:tcW w:w="1292" w:type="dxa"/>
            <w:vAlign w:val="center"/>
          </w:tcPr>
          <w:p>
            <w:pPr>
              <w:pStyle w:val="闻政表"/>
              <w:spacing w:line="520" w:lineRule="exact"/>
              <w:ind w:firstLine="420"/>
              <w:jc w:val="right"/>
              <w:rPr>
                <w:rFonts w:ascii="仿宋_GB2312" w:cs="Times New Roman"/>
                <w:b w:val="0"/>
                <w:color w:val="auto"/>
                <w:sz w:val="21"/>
                <w:szCs w:val="21"/>
                <w:highlight w:val="none"/>
              </w:rPr>
            </w:pPr>
            <w:r>
              <w:rPr>
                <w:rFonts w:ascii="仿宋_GB2312" w:cs="Times New Roman" w:hint="eastAsia"/>
                <w:b w:val="0"/>
                <w:color w:val="auto"/>
                <w:sz w:val="21"/>
                <w:szCs w:val="21"/>
                <w:highlight w:val="none"/>
              </w:rPr>
              <w:t xml:space="preserve">35.00</w:t>
            </w:r>
          </w:p>
        </w:tc>
        <w:tc>
          <w:tcPr>
            <w:tcW w:w="1291" w:type="dxa"/>
            <w:vAlign w:val="center"/>
          </w:tcPr>
          <w:p>
            <w:pPr>
              <w:pStyle w:val="闻政表"/>
              <w:spacing w:line="520" w:lineRule="exact"/>
              <w:ind w:firstLine="0" w:firstLineChars="0"/>
              <w:jc w:val="right"/>
              <w:rPr>
                <w:rFonts w:ascii="仿宋_GB2312" w:cs="Times New Roman"/>
                <w:b w:val="0"/>
                <w:color w:val="auto"/>
                <w:sz w:val="21"/>
                <w:szCs w:val="21"/>
                <w:highlight w:val="none"/>
              </w:rPr>
            </w:pPr>
            <w:r>
              <w:rPr>
                <w:rFonts w:ascii="仿宋_GB2312" w:cs="Times New Roman" w:hint="eastAsia"/>
                <w:b w:val="0"/>
                <w:color w:val="auto"/>
                <w:sz w:val="21"/>
                <w:szCs w:val="21"/>
                <w:highlight w:val="none"/>
              </w:rPr>
              <w:t xml:space="preserve">20.00</w:t>
            </w:r>
          </w:p>
        </w:tc>
        <w:tc>
          <w:tcPr>
            <w:tcW w:w="1569" w:type="dxa"/>
            <w:vAlign w:val="center"/>
          </w:tcPr>
          <w:p>
            <w:pPr>
              <w:pStyle w:val="闻政表"/>
              <w:spacing w:line="520" w:lineRule="exact"/>
              <w:ind w:firstLine="0" w:firstLineChars="0"/>
              <w:jc w:val="right"/>
              <w:rPr>
                <w:rFonts w:ascii="仿宋_GB2312" w:cs="Times New Roman"/>
                <w:b w:val="0"/>
                <w:color w:val="auto"/>
                <w:sz w:val="21"/>
                <w:szCs w:val="21"/>
                <w:highlight w:val="none"/>
              </w:rPr>
            </w:pPr>
            <w:r>
              <w:rPr>
                <w:rFonts w:ascii="仿宋_GB2312" w:cs="Times New Roman" w:hint="eastAsia"/>
                <w:b w:val="0"/>
                <w:color w:val="auto"/>
                <w:sz w:val="21"/>
                <w:szCs w:val="21"/>
                <w:highlight w:val="none"/>
              </w:rPr>
              <w:t xml:space="preserve">10.00</w:t>
            </w:r>
          </w:p>
        </w:tc>
        <w:tc>
          <w:tcPr>
            <w:tcW w:w="1009" w:type="dxa"/>
            <w:vAlign w:val="center"/>
          </w:tcPr>
          <w:p>
            <w:pPr>
              <w:pStyle w:val="闻政表"/>
              <w:spacing w:line="520" w:lineRule="exact"/>
              <w:ind w:firstLine="0" w:firstLineChars="0"/>
              <w:jc w:val="right"/>
              <w:rPr>
                <w:rFonts w:ascii="仿宋_GB2312" w:cs="Times New Roman"/>
                <w:b w:val="0"/>
                <w:color w:val="auto"/>
                <w:sz w:val="21"/>
                <w:szCs w:val="21"/>
                <w:highlight w:val="none"/>
              </w:rPr>
            </w:pPr>
            <w:r>
              <w:rPr>
                <w:rFonts w:ascii="仿宋_GB2312" w:cs="Times New Roman" w:hint="eastAsia"/>
                <w:b w:val="0"/>
                <w:color w:val="auto"/>
                <w:sz w:val="21"/>
                <w:szCs w:val="21"/>
                <w:highlight w:val="none"/>
              </w:rPr>
              <w:t xml:space="preserve">100.00</w:t>
            </w:r>
          </w:p>
        </w:tc>
      </w:tr>
      <w:tr>
        <w:tblPrEx>
          <w:tblW w:w="8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5"/>
          <w:jc w:val="center"/>
        </w:trPr>
        <w:tc>
          <w:tcPr>
            <w:tcW w:w="865" w:type="dxa"/>
            <w:vAlign w:val="center"/>
          </w:tcPr>
          <w:p>
            <w:pPr>
              <w:pStyle w:val="闻政表"/>
              <w:spacing w:line="520" w:lineRule="exact"/>
              <w:ind w:firstLine="0" w:firstLineChars="0"/>
              <w:rPr>
                <w:rFonts w:ascii="仿宋_GB2312" w:cs="Times New Roman"/>
                <w:bCs/>
                <w:color w:val="auto"/>
                <w:sz w:val="21"/>
                <w:szCs w:val="21"/>
                <w:highlight w:val="none"/>
              </w:rPr>
            </w:pPr>
            <w:r>
              <w:rPr>
                <w:rFonts w:ascii="仿宋_GB2312" w:cs="Times New Roman" w:hint="eastAsia"/>
                <w:bCs/>
                <w:color w:val="auto"/>
                <w:sz w:val="21"/>
                <w:szCs w:val="21"/>
                <w:highlight w:val="none"/>
              </w:rPr>
              <w:t xml:space="preserve">得分率</w:t>
            </w:r>
          </w:p>
        </w:tc>
        <w:tc>
          <w:tcPr>
            <w:tcW w:w="1275" w:type="dxa"/>
            <w:vAlign w:val="center"/>
          </w:tcPr>
          <w:p>
            <w:pPr>
              <w:pStyle w:val="闻政表"/>
              <w:spacing w:line="520" w:lineRule="exact"/>
              <w:ind w:firstLine="0" w:firstLineChars="0"/>
              <w:jc w:val="right"/>
              <w:rPr>
                <w:rFonts w:ascii="仿宋_GB2312" w:cs="Times New Roman"/>
                <w:bCs/>
                <w:color w:val="auto"/>
                <w:sz w:val="21"/>
                <w:szCs w:val="21"/>
                <w:highlight w:val="none"/>
              </w:rPr>
            </w:pPr>
            <w:r>
              <w:rPr>
                <w:rFonts w:ascii="仿宋_GB2312" w:cs="Times New Roman" w:hint="eastAsia"/>
                <w:bCs/>
                <w:color w:val="auto"/>
                <w:sz w:val="21"/>
                <w:szCs w:val="21"/>
                <w:highlight w:val="none"/>
              </w:rPr>
              <w:t xml:space="preserve">100.00</w:t>
            </w:r>
            <w:r>
              <w:rPr>
                <w:rFonts w:ascii="仿宋_GB2312" w:cs="Times New Roman"/>
                <w:bCs/>
                <w:color w:val="auto"/>
                <w:sz w:val="21"/>
                <w:szCs w:val="21"/>
                <w:highlight w:val="none"/>
              </w:rPr>
              <w:t xml:space="preserve">%</w:t>
            </w:r>
          </w:p>
        </w:tc>
        <w:tc>
          <w:tcPr>
            <w:tcW w:w="1335" w:type="dxa"/>
            <w:vAlign w:val="center"/>
          </w:tcPr>
          <w:p>
            <w:pPr>
              <w:pStyle w:val="闻政表"/>
              <w:spacing w:line="520" w:lineRule="exact"/>
              <w:ind w:firstLine="0" w:firstLineChars="0"/>
              <w:jc w:val="right"/>
              <w:rPr>
                <w:color w:val="auto"/>
                <w:highlight w:val="none"/>
              </w:rPr>
            </w:pPr>
            <w:r>
              <w:rPr>
                <w:rFonts w:ascii="仿宋_GB2312" w:cs="Times New Roman" w:hint="eastAsia"/>
                <w:bCs/>
                <w:color w:val="auto"/>
                <w:sz w:val="21"/>
                <w:szCs w:val="21"/>
                <w:highlight w:val="none"/>
              </w:rPr>
              <w:t xml:space="preserve">100.00</w:t>
            </w:r>
            <w:r>
              <w:rPr>
                <w:rFonts w:ascii="仿宋_GB2312" w:cs="Times New Roman"/>
                <w:bCs/>
                <w:color w:val="auto"/>
                <w:sz w:val="21"/>
                <w:szCs w:val="21"/>
                <w:highlight w:val="none"/>
              </w:rPr>
              <w:t xml:space="preserve">%</w:t>
            </w:r>
          </w:p>
        </w:tc>
        <w:tc>
          <w:tcPr>
            <w:tcW w:w="1292" w:type="dxa"/>
            <w:vAlign w:val="center"/>
          </w:tcPr>
          <w:p>
            <w:pPr>
              <w:pStyle w:val="闻政表"/>
              <w:spacing w:line="520" w:lineRule="exact"/>
              <w:ind w:firstLine="0" w:firstLineChars="0"/>
              <w:jc w:val="right"/>
              <w:rPr>
                <w:color w:val="auto"/>
                <w:highlight w:val="none"/>
              </w:rPr>
            </w:pPr>
            <w:r>
              <w:rPr>
                <w:rFonts w:ascii="仿宋_GB2312" w:cs="Times New Roman" w:hint="eastAsia"/>
                <w:bCs/>
                <w:color w:val="auto"/>
                <w:sz w:val="21"/>
                <w:szCs w:val="21"/>
                <w:highlight w:val="none"/>
              </w:rPr>
              <w:t xml:space="preserve">100.00</w:t>
            </w:r>
            <w:r>
              <w:rPr>
                <w:rFonts w:ascii="仿宋_GB2312" w:cs="Times New Roman"/>
                <w:bCs/>
                <w:color w:val="auto"/>
                <w:sz w:val="21"/>
                <w:szCs w:val="21"/>
                <w:highlight w:val="none"/>
              </w:rPr>
              <w:t xml:space="preserve">%</w:t>
            </w:r>
          </w:p>
        </w:tc>
        <w:tc>
          <w:tcPr>
            <w:tcW w:w="1291" w:type="dxa"/>
            <w:vAlign w:val="center"/>
          </w:tcPr>
          <w:p>
            <w:pPr>
              <w:pStyle w:val="闻政表"/>
              <w:spacing w:line="520" w:lineRule="exact"/>
              <w:ind w:firstLine="0" w:firstLineChars="0"/>
              <w:jc w:val="right"/>
              <w:rPr>
                <w:rFonts w:ascii="仿宋_GB2312" w:cs="Times New Roman"/>
                <w:bCs/>
                <w:color w:val="auto"/>
                <w:sz w:val="21"/>
                <w:szCs w:val="21"/>
                <w:highlight w:val="none"/>
              </w:rPr>
            </w:pPr>
            <w:r>
              <w:rPr>
                <w:rFonts w:ascii="仿宋_GB2312" w:cs="Times New Roman" w:hint="eastAsia"/>
                <w:bCs/>
                <w:color w:val="auto"/>
                <w:sz w:val="21"/>
                <w:szCs w:val="21"/>
                <w:highlight w:val="none"/>
              </w:rPr>
              <w:t xml:space="preserve">100.00</w:t>
            </w:r>
            <w:r>
              <w:rPr>
                <w:rFonts w:ascii="仿宋_GB2312" w:cs="Times New Roman"/>
                <w:bCs/>
                <w:color w:val="auto"/>
                <w:sz w:val="21"/>
                <w:szCs w:val="21"/>
                <w:highlight w:val="none"/>
              </w:rPr>
              <w:t xml:space="preserve">%</w:t>
            </w:r>
          </w:p>
        </w:tc>
        <w:tc>
          <w:tcPr>
            <w:tcW w:w="1569" w:type="dxa"/>
            <w:vAlign w:val="center"/>
          </w:tcPr>
          <w:p>
            <w:pPr>
              <w:pStyle w:val="闻政表"/>
              <w:spacing w:line="520" w:lineRule="exact"/>
              <w:ind w:firstLine="0" w:firstLineChars="0"/>
              <w:jc w:val="right"/>
              <w:rPr>
                <w:rFonts w:ascii="仿宋_GB2312" w:cs="Times New Roman"/>
                <w:bCs/>
                <w:color w:val="auto"/>
                <w:sz w:val="21"/>
                <w:szCs w:val="21"/>
                <w:highlight w:val="none"/>
              </w:rPr>
            </w:pPr>
            <w:r>
              <w:rPr>
                <w:rFonts w:ascii="仿宋_GB2312" w:cs="Times New Roman" w:hint="eastAsia"/>
                <w:bCs/>
                <w:color w:val="auto"/>
                <w:sz w:val="21"/>
                <w:szCs w:val="21"/>
                <w:highlight w:val="none"/>
              </w:rPr>
              <w:t xml:space="preserve">100.00</w:t>
            </w:r>
            <w:r>
              <w:rPr>
                <w:rFonts w:ascii="仿宋_GB2312" w:cs="Times New Roman"/>
                <w:bCs/>
                <w:color w:val="auto"/>
                <w:sz w:val="21"/>
                <w:szCs w:val="21"/>
                <w:highlight w:val="none"/>
              </w:rPr>
              <w:t xml:space="preserve">%</w:t>
            </w:r>
          </w:p>
        </w:tc>
        <w:tc>
          <w:tcPr>
            <w:tcW w:w="1009" w:type="dxa"/>
            <w:vAlign w:val="center"/>
          </w:tcPr>
          <w:p>
            <w:pPr>
              <w:pStyle w:val="闻政表"/>
              <w:spacing w:line="520" w:lineRule="exact"/>
              <w:ind w:firstLine="0" w:firstLineChars="0"/>
              <w:jc w:val="right"/>
              <w:rPr>
                <w:rFonts w:ascii="仿宋_GB2312" w:cs="Times New Roman"/>
                <w:bCs/>
                <w:color w:val="auto"/>
                <w:sz w:val="21"/>
                <w:szCs w:val="21"/>
                <w:highlight w:val="none"/>
              </w:rPr>
            </w:pPr>
            <w:r>
              <w:rPr>
                <w:rFonts w:ascii="仿宋_GB2312" w:cs="Times New Roman" w:hint="eastAsia"/>
                <w:bCs/>
                <w:color w:val="auto"/>
                <w:sz w:val="21"/>
                <w:szCs w:val="21"/>
                <w:highlight w:val="none"/>
              </w:rPr>
              <w:t xml:space="preserve">100.00</w:t>
            </w:r>
            <w:r>
              <w:rPr>
                <w:rFonts w:ascii="仿宋_GB2312" w:cs="Times New Roman"/>
                <w:bCs/>
                <w:color w:val="auto"/>
                <w:sz w:val="21"/>
                <w:szCs w:val="21"/>
                <w:highlight w:val="none"/>
              </w:rPr>
              <w:t xml:space="preserve">%</w:t>
            </w:r>
          </w:p>
        </w:tc>
      </w:tr>
    </w:tbl>
    <w:p>
      <w:pPr>
        <w:pStyle w:val="闻政-正文一级标题"/>
        <w:keepNext w:val="0"/>
        <w:keepLines w:val="0"/>
        <w:spacing w:line="520" w:lineRule="exact"/>
        <w:ind w:firstLine="640" w:firstLineChars="200"/>
        <w:jc w:val="both"/>
        <w:rPr>
          <w:rFonts w:hint="eastAsia"/>
          <w:color w:val="auto"/>
          <w:highlight w:val="none"/>
        </w:rPr>
      </w:pPr>
      <w:bookmarkStart w:id="103" w:name="_Toc10259_WPSOffice_Level1"/>
      <w:bookmarkStart w:id="104" w:name="_Toc23593"/>
      <w:bookmarkStart w:id="105" w:name="_Toc27609"/>
      <w:bookmarkStart w:id="106" w:name="_Toc21991"/>
      <w:bookmarkStart w:id="107" w:name="_Toc17696_WPSOffice_Level1"/>
      <w:bookmarkStart w:id="108" w:name="_Toc4090"/>
      <w:bookmarkStart w:id="109" w:name="_Toc19284"/>
      <w:bookmarkStart w:id="110" w:name="_Toc31634"/>
      <w:bookmarkStart w:id="111" w:name="_Toc14202_WPSOffice_Level1"/>
      <w:bookmarkStart w:id="112" w:name="_Toc127054593"/>
      <w:r>
        <w:rPr>
          <w:rFonts w:hint="eastAsia"/>
          <w:color w:val="auto"/>
          <w:highlight w:val="none"/>
        </w:rPr>
        <w:t xml:space="preserve">四、绩效评价指标分析</w:t>
      </w:r>
      <w:bookmarkEnd w:id="103"/>
      <w:bookmarkEnd w:id="104"/>
      <w:bookmarkEnd w:id="105"/>
      <w:bookmarkEnd w:id="106"/>
      <w:bookmarkEnd w:id="107"/>
      <w:bookmarkEnd w:id="108"/>
      <w:bookmarkEnd w:id="109"/>
      <w:bookmarkEnd w:id="110"/>
      <w:bookmarkEnd w:id="111"/>
      <w:bookmarkEnd w:id="112"/>
    </w:p>
    <w:p>
      <w:pPr>
        <w:pStyle w:val="闻政-正文二级标题"/>
        <w:keepNext w:val="0"/>
        <w:keepLines w:val="0"/>
        <w:spacing w:line="520" w:lineRule="exact"/>
        <w:ind w:left="560"/>
        <w:jc w:val="both"/>
        <w:rPr>
          <w:rFonts w:ascii="仿宋_GB2312" w:hAnsi="仿宋_GB2312" w:cs="仿宋_GB2312" w:hint="eastAsia"/>
          <w:color w:val="auto"/>
          <w:highlight w:val="none"/>
        </w:rPr>
      </w:pPr>
      <w:bookmarkStart w:id="113" w:name="_Toc15622"/>
      <w:bookmarkStart w:id="114" w:name="_Toc13717_WPSOffice_Level2"/>
      <w:bookmarkStart w:id="115" w:name="_Toc1351"/>
      <w:bookmarkStart w:id="116" w:name="_Toc23212"/>
      <w:bookmarkStart w:id="117" w:name="_Toc17002"/>
      <w:bookmarkStart w:id="118" w:name="_Toc12537"/>
      <w:bookmarkStart w:id="119" w:name="_Toc24898"/>
      <w:bookmarkStart w:id="120" w:name="_Toc23471_WPSOffice_Level2"/>
      <w:bookmarkStart w:id="121" w:name="_Toc127054594"/>
      <w:bookmarkStart w:id="122" w:name="_Toc30064_WPSOffice_Level2"/>
      <w:r>
        <w:rPr>
          <w:rFonts w:ascii="仿宋_GB2312" w:hAnsi="仿宋_GB2312" w:cs="仿宋_GB2312" w:hint="eastAsia"/>
          <w:color w:val="auto"/>
          <w:highlight w:val="none"/>
        </w:rPr>
        <w:t xml:space="preserve">（一）项目决策情况</w:t>
      </w:r>
      <w:bookmarkEnd w:id="113"/>
      <w:bookmarkEnd w:id="114"/>
      <w:bookmarkEnd w:id="115"/>
      <w:bookmarkEnd w:id="116"/>
      <w:bookmarkEnd w:id="117"/>
      <w:bookmarkEnd w:id="118"/>
      <w:bookmarkEnd w:id="119"/>
      <w:bookmarkEnd w:id="120"/>
      <w:bookmarkEnd w:id="121"/>
      <w:bookmarkEnd w:id="122"/>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决策类指标包括项目立项、绩效目标和资金投入三方面的内容，由6个三级指标构成，权重分值为20分，</w:t>
      </w:r>
      <w:r>
        <w:rPr>
          <w:rFonts w:ascii="仿宋_GB2312" w:hAnsi="仿宋_GB2312" w:cs="仿宋_GB2312" w:hint="eastAsia"/>
          <w:color w:val="auto"/>
          <w:highlight w:val="none"/>
        </w:rPr>
        <w:t xml:space="preserve">实际得分20分</w:t>
      </w:r>
      <w:r>
        <w:rPr>
          <w:rFonts w:ascii="仿宋_GB2312" w:hAnsi="仿宋_GB2312" w:cs="仿宋_GB2312" w:hint="eastAsia"/>
          <w:color w:val="auto"/>
          <w:highlight w:val="none"/>
        </w:rPr>
        <w:t xml:space="preserve">，</w:t>
      </w:r>
      <w:r>
        <w:rPr>
          <w:rFonts w:ascii="仿宋_GB2312" w:hAnsi="仿宋_GB2312" w:cs="仿宋_GB2312" w:hint="eastAsia"/>
          <w:color w:val="auto"/>
          <w:highlight w:val="none"/>
        </w:rPr>
        <w:t xml:space="preserve">得分率为100</w:t>
      </w:r>
      <w:r>
        <w:rPr>
          <w:rFonts w:ascii="仿宋_GB2312" w:hAnsi="仿宋_GB2312" w:cs="仿宋_GB2312" w:hint="eastAsia"/>
          <w:color w:val="auto"/>
          <w:highlight w:val="none"/>
        </w:rPr>
        <w:t xml:space="preserve">%。</w:t>
      </w:r>
    </w:p>
    <w:p>
      <w:pPr>
        <w:pStyle w:val="闻政-正文段落文字"/>
        <w:spacing w:line="520" w:lineRule="exact"/>
        <w:ind w:firstLine="562"/>
        <w:rPr>
          <w:rFonts w:ascii="仿宋_GB2312" w:hAnsi="仿宋_GB2312" w:cs="仿宋_GB2312" w:hint="eastAsia"/>
          <w:b/>
          <w:bCs/>
          <w:color w:val="auto"/>
          <w:highlight w:val="none"/>
        </w:rPr>
      </w:pPr>
      <w:bookmarkStart w:id="123" w:name="_Toc25023_WPSOffice_Level2"/>
      <w:r>
        <w:rPr>
          <w:rFonts w:ascii="仿宋_GB2312" w:hAnsi="仿宋_GB2312" w:cs="仿宋_GB2312" w:hint="eastAsia"/>
          <w:b/>
          <w:bCs/>
          <w:color w:val="auto"/>
          <w:highlight w:val="none"/>
        </w:rPr>
        <w:t xml:space="preserve">1.项目立项</w:t>
      </w:r>
      <w:bookmarkEnd w:id="123"/>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项目立项指标从立项依据充分性、立项程序规范性2个方面进行评价，权重分值8分，</w:t>
      </w:r>
      <w:r>
        <w:rPr>
          <w:rFonts w:ascii="仿宋_GB2312" w:hAnsi="仿宋_GB2312" w:cs="仿宋_GB2312" w:hint="eastAsia"/>
          <w:color w:val="auto"/>
          <w:highlight w:val="none"/>
        </w:rPr>
        <w:t xml:space="preserve">实际得分8分</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（1）立项依据充分性</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该项目立项符合国家相关法律法规及发展政策，符合行业规划要求，</w:t>
      </w:r>
      <w:r>
        <w:rPr>
          <w:rFonts w:ascii="仿宋_GB2312" w:hAnsi="仿宋_GB2312" w:cs="仿宋_GB2312" w:hint="eastAsia"/>
          <w:color w:val="auto"/>
          <w:highlight w:val="none"/>
        </w:rPr>
        <w:t xml:space="preserve">根据</w:t>
      </w:r>
      <w:r>
        <w:rPr>
          <w:rFonts w:ascii="仿宋_GB2312" w:hAnsi="仿宋_GB2312" w:cs="仿宋_GB2312" w:hint="eastAsia"/>
          <w:color w:val="auto"/>
          <w:highlight w:val="none"/>
        </w:rPr>
        <w:t xml:space="preserve">《关于提前下达2024年城乡义务教育补助经费预算（中央直达资金）的通知》喀地财教〔2023〕78号、《关于提前下达2024年城乡义务教育补助经费预算（自治区直达资金）的通知》喀地财教〔2023〕85号、《关于下达2024年城乡义务教育补助经费（第二批）中央直达资金的通知》喀地财教〔2024〕27号、岳财预〔2024〕1号</w:t>
      </w:r>
      <w:r>
        <w:rPr>
          <w:rFonts w:ascii="仿宋_GB2312" w:hAnsi="仿宋_GB2312" w:cs="仿宋_GB2312" w:hint="eastAsia"/>
          <w:color w:val="auto"/>
          <w:highlight w:val="none"/>
        </w:rPr>
        <w:t xml:space="preserve">立项依据，</w:t>
      </w:r>
      <w:r>
        <w:rPr>
          <w:rFonts w:ascii="仿宋_GB2312" w:hAnsi="仿宋_GB2312" w:cs="仿宋_GB2312" w:hint="eastAsia"/>
          <w:color w:val="auto"/>
          <w:highlight w:val="none"/>
        </w:rPr>
        <w:t xml:space="preserve">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w:t>
      </w:r>
      <w:r>
        <w:rPr>
          <w:rFonts w:ascii="仿宋_GB2312" w:hAnsi="仿宋_GB2312" w:cs="仿宋_GB2312" w:hint="eastAsia"/>
          <w:color w:val="auto"/>
          <w:highlight w:val="none"/>
        </w:rPr>
        <w:t xml:space="preserve">实际得分5分</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（2）立项程序规范性</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w:t>
      </w:r>
      <w:r>
        <w:rPr>
          <w:rFonts w:ascii="仿宋_GB2312" w:hAnsi="仿宋_GB2312" w:cs="仿宋_GB2312" w:hint="eastAsia"/>
          <w:color w:val="auto"/>
          <w:highlight w:val="none"/>
        </w:rPr>
        <w:t xml:space="preserve">实际得分3分</w:t>
      </w:r>
      <w:r>
        <w:rPr>
          <w:rFonts w:ascii="仿宋_GB2312" w:hAnsi="仿宋_GB2312" w:cs="仿宋_GB2312" w:hint="eastAsia"/>
          <w:color w:val="auto"/>
          <w:highlight w:val="none"/>
        </w:rPr>
        <w:t xml:space="preserve">。</w:t>
      </w:r>
    </w:p>
    <w:p>
      <w:pPr>
        <w:pStyle w:val="闻政-正文段落文字"/>
        <w:spacing w:line="520" w:lineRule="exact"/>
        <w:ind w:firstLine="562"/>
        <w:rPr>
          <w:rFonts w:ascii="仿宋_GB2312" w:hAnsi="仿宋_GB2312" w:cs="仿宋_GB2312" w:hint="eastAsia"/>
          <w:b/>
          <w:bCs/>
          <w:color w:val="auto"/>
          <w:highlight w:val="none"/>
        </w:rPr>
      </w:pPr>
      <w:bookmarkStart w:id="124" w:name="_Toc20733_WPSOffice_Level2"/>
      <w:r>
        <w:rPr>
          <w:rFonts w:ascii="仿宋_GB2312" w:hAnsi="仿宋_GB2312" w:cs="仿宋_GB2312" w:hint="eastAsia"/>
          <w:b/>
          <w:bCs/>
          <w:color w:val="auto"/>
          <w:highlight w:val="none"/>
        </w:rPr>
        <w:t xml:space="preserve">2.绩效目标</w:t>
      </w:r>
      <w:bookmarkEnd w:id="124"/>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绩效目标指标从绩效目标合理性、绩效指标明确性2个方面进行评价，权重分值5分，</w:t>
      </w:r>
      <w:r>
        <w:rPr>
          <w:rFonts w:ascii="仿宋_GB2312" w:hAnsi="仿宋_GB2312" w:cs="仿宋_GB2312" w:hint="eastAsia"/>
          <w:color w:val="auto"/>
          <w:highlight w:val="none"/>
        </w:rPr>
        <w:t xml:space="preserve">实际得分5分</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（1）绩效目标合理性</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制定了</w:t>
      </w:r>
      <w:r>
        <w:rPr>
          <w:rFonts w:ascii="仿宋_GB2312" w:hAnsi="仿宋_GB2312" w:cs="仿宋_GB2312" w:hint="eastAsia"/>
          <w:color w:val="auto"/>
          <w:highlight w:val="none"/>
        </w:rPr>
        <w:t xml:space="preserve">《</w:t>
      </w:r>
      <w:r>
        <w:rPr>
          <w:rFonts w:ascii="仿宋_GB2312" w:hAnsi="仿宋_GB2312" w:cs="仿宋_GB2312" w:hint="eastAsia"/>
          <w:color w:val="auto"/>
          <w:highlight w:val="none"/>
        </w:rPr>
        <w:t xml:space="preserve">城乡义务教育补助经费项目（公用经费）</w:t>
      </w:r>
      <w:r>
        <w:rPr>
          <w:rFonts w:ascii="仿宋_GB2312" w:hAnsi="仿宋_GB2312" w:cs="仿宋_GB2312" w:hint="eastAsia"/>
          <w:color w:val="auto"/>
          <w:highlight w:val="none"/>
        </w:rPr>
        <w:t xml:space="preserve">实施方案》</w:t>
      </w:r>
      <w:r>
        <w:rPr>
          <w:rFonts w:ascii="仿宋_GB2312" w:hAnsi="仿宋_GB2312" w:cs="仿宋_GB2312" w:hint="eastAsia"/>
          <w:color w:val="auto"/>
          <w:highlight w:val="none"/>
        </w:rPr>
        <w:t xml:space="preserve">，明确了总体思路及目标。绩效目标表经过审核，绩效目标与实际工作内容具有相关性，预算与确定的项目投资额相匹配，对项目任务进行了详细分解。项目预期产出效益及效果符合正常的业绩水平。根据评价标准，该指标不扣分，</w:t>
      </w:r>
      <w:r>
        <w:rPr>
          <w:rFonts w:ascii="仿宋_GB2312" w:hAnsi="仿宋_GB2312" w:cs="仿宋_GB2312" w:hint="eastAsia"/>
          <w:color w:val="auto"/>
          <w:highlight w:val="none"/>
        </w:rPr>
        <w:t xml:space="preserve">实际得分3分</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（2）绩效指标明确性</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项目设置了明确的预期产出效益和效果，将绩效目标细化分解为具体的绩效指标，项目的三级指标设置与项目目标任务数相对应，绩效目标设定的绩效指标清晰、细化、可衡量。根据评价标准，该指标不扣分，</w:t>
      </w:r>
      <w:r>
        <w:rPr>
          <w:rFonts w:ascii="仿宋_GB2312" w:hAnsi="仿宋_GB2312" w:cs="仿宋_GB2312" w:hint="eastAsia"/>
          <w:color w:val="auto"/>
          <w:highlight w:val="none"/>
        </w:rPr>
        <w:t xml:space="preserve">实际得分2分</w:t>
      </w:r>
      <w:r>
        <w:rPr>
          <w:rFonts w:ascii="仿宋_GB2312" w:hAnsi="仿宋_GB2312" w:cs="仿宋_GB2312" w:hint="eastAsia"/>
          <w:color w:val="auto"/>
          <w:highlight w:val="none"/>
        </w:rPr>
        <w:t xml:space="preserve">。</w:t>
      </w:r>
    </w:p>
    <w:p>
      <w:pPr>
        <w:pStyle w:val="闻政-正文段落文字"/>
        <w:spacing w:line="520" w:lineRule="exact"/>
        <w:ind w:firstLine="562"/>
        <w:rPr>
          <w:rFonts w:ascii="仿宋_GB2312" w:hAnsi="仿宋_GB2312" w:cs="仿宋_GB2312" w:hint="eastAsia"/>
          <w:b/>
          <w:bCs/>
          <w:color w:val="auto"/>
          <w:highlight w:val="none"/>
        </w:rPr>
      </w:pPr>
      <w:bookmarkStart w:id="125" w:name="_Toc32610_WPSOffice_Level2"/>
      <w:r>
        <w:rPr>
          <w:rFonts w:ascii="仿宋_GB2312" w:hAnsi="仿宋_GB2312" w:cs="仿宋_GB2312" w:hint="eastAsia"/>
          <w:b/>
          <w:bCs/>
          <w:color w:val="auto"/>
          <w:highlight w:val="none"/>
        </w:rPr>
        <w:t xml:space="preserve">3.资金投入</w:t>
      </w:r>
      <w:bookmarkEnd w:id="125"/>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资金投入指标从预算编制科学性、资金分配合理性2个方面进行评价，权重分值7分，</w:t>
      </w:r>
      <w:r>
        <w:rPr>
          <w:rFonts w:ascii="仿宋_GB2312" w:hAnsi="仿宋_GB2312" w:cs="仿宋_GB2312" w:hint="eastAsia"/>
          <w:color w:val="auto"/>
          <w:highlight w:val="none"/>
        </w:rPr>
        <w:t xml:space="preserve">实际得分7分</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（1）预算编制科学性</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项目为</w:t>
      </w:r>
      <w:r>
        <w:rPr>
          <w:rFonts w:ascii="仿宋_GB2312" w:hAnsi="仿宋_GB2312" w:cs="仿宋_GB2312" w:hint="eastAsia"/>
          <w:color w:val="auto"/>
          <w:highlight w:val="none"/>
        </w:rPr>
        <w:t xml:space="preserve">年初预算</w:t>
      </w:r>
      <w:r>
        <w:rPr>
          <w:rFonts w:ascii="仿宋_GB2312" w:hAnsi="仿宋_GB2312" w:cs="仿宋_GB2312" w:hint="eastAsia"/>
          <w:color w:val="auto"/>
          <w:highlight w:val="none"/>
        </w:rPr>
        <w:t xml:space="preserve">，</w:t>
      </w:r>
      <w:r>
        <w:rPr>
          <w:rFonts w:ascii="仿宋_GB2312" w:hAnsi="仿宋_GB2312" w:cs="仿宋_GB2312" w:hint="eastAsia"/>
          <w:color w:val="auto"/>
          <w:highlight w:val="none"/>
        </w:rPr>
        <w:t xml:space="preserve">根据项目需求编制，预算编制与单位职能相匹配，预算编制经过科学论证，提供充分的测算依据佐证资料，编制准确可靠的数据和信息。确保预算内容与项目内容相匹配。项目投资额</w:t>
      </w:r>
      <w:r>
        <w:rPr>
          <w:rFonts w:ascii="仿宋_GB2312" w:hAnsi="仿宋_GB2312" w:cs="仿宋_GB2312" w:hint="eastAsia"/>
          <w:color w:val="auto"/>
          <w:highlight w:val="none"/>
        </w:rPr>
        <w:t xml:space="preserve">为</w:t>
      </w:r>
      <w:r>
        <w:rPr>
          <w:rFonts w:ascii="仿宋_GB2312" w:hAnsi="仿宋_GB2312" w:cs="仿宋_GB2312" w:hint="eastAsia"/>
          <w:color w:val="auto"/>
          <w:highlight w:val="none"/>
        </w:rPr>
        <w:t xml:space="preserve">11723.68</w:t>
      </w:r>
      <w:r>
        <w:rPr>
          <w:rFonts w:ascii="仿宋_GB2312" w:hAnsi="仿宋_GB2312" w:cs="仿宋_GB2312" w:hint="eastAsia"/>
          <w:color w:val="auto"/>
          <w:highlight w:val="none"/>
        </w:rPr>
        <w:t xml:space="preserve">万元，主要</w:t>
      </w:r>
      <w:r>
        <w:rPr>
          <w:rFonts w:ascii="仿宋_GB2312" w:hAnsi="仿宋_GB2312" w:cs="仿宋_GB2312" w:hint="eastAsia"/>
          <w:color w:val="auto"/>
          <w:highlight w:val="none"/>
        </w:rPr>
        <w:t xml:space="preserve">用于义务教育阶段弥补学校因免学费导致的运转经费缺口。包括教学支出、日常办公经费、学校基础设施维护与改善等。</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项目投资额与工作任务相匹配。预算编制的程序规范、透明，确保预算的公正性和公平性。根据评价标准，该指标不扣分，</w:t>
      </w:r>
      <w:r>
        <w:rPr>
          <w:rFonts w:ascii="仿宋_GB2312" w:hAnsi="仿宋_GB2312" w:cs="仿宋_GB2312" w:hint="eastAsia"/>
          <w:color w:val="auto"/>
          <w:highlight w:val="none"/>
        </w:rPr>
        <w:t xml:space="preserve">实际得分5分</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（2）资金分配合理性</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资金分配时，优先满足关键任务的资金需求，确保项目按照计划和时间表进行。</w:t>
      </w:r>
      <w:r>
        <w:rPr>
          <w:rFonts w:ascii="仿宋_GB2312" w:hAnsi="仿宋_GB2312" w:cs="仿宋_GB2312" w:hint="eastAsia"/>
          <w:color w:val="auto"/>
          <w:highlight w:val="none"/>
        </w:rPr>
        <w:t xml:space="preserve">资金分配情况：生均公用经费3880.76万元，生均公用经费保障学生数量35620人，生均公用经费（补贴标准）1089.489元/人</w:t>
      </w:r>
      <w:r>
        <w:rPr>
          <w:rFonts w:ascii="仿宋_GB2312" w:hAnsi="仿宋_GB2312" w:cs="仿宋_GB2312" w:hint="eastAsia"/>
          <w:color w:val="auto"/>
          <w:highlight w:val="none"/>
        </w:rPr>
        <w:t xml:space="preserve">。</w:t>
      </w:r>
      <w:r>
        <w:rPr>
          <w:rFonts w:ascii="仿宋_GB2312" w:hAnsi="仿宋_GB2312" w:cs="仿宋_GB2312" w:hint="eastAsia"/>
          <w:color w:val="auto"/>
          <w:highlight w:val="none"/>
        </w:rPr>
        <w:t xml:space="preserve">资金分配额度与项目单位实际工作内容相适应，资金分配额度合理，资金分配依据充分。根据评价标准，该指标不扣分，</w:t>
      </w:r>
      <w:r>
        <w:rPr>
          <w:rFonts w:ascii="仿宋_GB2312" w:hAnsi="仿宋_GB2312" w:cs="仿宋_GB2312" w:hint="eastAsia"/>
          <w:color w:val="auto"/>
          <w:highlight w:val="none"/>
        </w:rPr>
        <w:t xml:space="preserve">实际得分2分</w:t>
      </w:r>
      <w:r>
        <w:rPr>
          <w:rFonts w:ascii="仿宋_GB2312" w:hAnsi="仿宋_GB2312" w:cs="仿宋_GB2312" w:hint="eastAsia"/>
          <w:color w:val="auto"/>
          <w:highlight w:val="none"/>
        </w:rPr>
        <w:t xml:space="preserve">。</w:t>
      </w:r>
    </w:p>
    <w:p>
      <w:pPr>
        <w:pStyle w:val="闻政-正文二级标题"/>
        <w:keepNext w:val="0"/>
        <w:keepLines w:val="0"/>
        <w:spacing w:line="520" w:lineRule="exact"/>
        <w:ind w:left="560"/>
        <w:jc w:val="both"/>
        <w:rPr>
          <w:rFonts w:ascii="仿宋_GB2312" w:hAnsi="仿宋_GB2312" w:cs="仿宋_GB2312" w:hint="eastAsia"/>
          <w:color w:val="auto"/>
          <w:highlight w:val="none"/>
        </w:rPr>
      </w:pPr>
      <w:bookmarkStart w:id="126" w:name="_Toc4615_WPSOffice_Level2"/>
      <w:bookmarkStart w:id="127" w:name="_Toc15035_WPSOffice_Level2"/>
      <w:bookmarkStart w:id="128" w:name="_Toc18592"/>
      <w:bookmarkStart w:id="129" w:name="_Toc804"/>
      <w:bookmarkStart w:id="130" w:name="_Toc30315"/>
      <w:bookmarkStart w:id="131" w:name="_Toc30208"/>
      <w:bookmarkStart w:id="132" w:name="_Toc21518"/>
      <w:bookmarkStart w:id="133" w:name="_Toc127054595"/>
      <w:bookmarkStart w:id="134" w:name="_Toc22525_WPSOffice_Level2"/>
      <w:bookmarkStart w:id="135" w:name="_Toc18771"/>
      <w:r>
        <w:rPr>
          <w:rFonts w:ascii="仿宋_GB2312" w:hAnsi="仿宋_GB2312" w:cs="仿宋_GB2312" w:hint="eastAsia"/>
          <w:color w:val="auto"/>
          <w:highlight w:val="none"/>
        </w:rPr>
        <w:t xml:space="preserve">（二）项目过程情况</w:t>
      </w:r>
      <w:bookmarkEnd w:id="126"/>
      <w:bookmarkEnd w:id="127"/>
      <w:bookmarkEnd w:id="128"/>
      <w:bookmarkEnd w:id="129"/>
      <w:bookmarkEnd w:id="130"/>
      <w:bookmarkEnd w:id="131"/>
      <w:bookmarkEnd w:id="132"/>
      <w:bookmarkEnd w:id="133"/>
      <w:bookmarkEnd w:id="134"/>
      <w:bookmarkEnd w:id="135"/>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过程类指标包括资金管理和组织实施两方面的内容，由6个三级指标构成，权重分值为15分，</w:t>
      </w:r>
      <w:r>
        <w:rPr>
          <w:rFonts w:ascii="仿宋_GB2312" w:hAnsi="仿宋_GB2312" w:cs="仿宋_GB2312" w:hint="eastAsia"/>
          <w:color w:val="auto"/>
          <w:highlight w:val="none"/>
        </w:rPr>
        <w:t xml:space="preserve">实际得分15分</w:t>
      </w:r>
      <w:r>
        <w:rPr>
          <w:rFonts w:ascii="仿宋_GB2312" w:hAnsi="仿宋_GB2312" w:cs="仿宋_GB2312" w:hint="eastAsia"/>
          <w:color w:val="auto"/>
          <w:highlight w:val="none"/>
        </w:rPr>
        <w:t xml:space="preserve">，</w:t>
      </w:r>
      <w:r>
        <w:rPr>
          <w:rFonts w:ascii="仿宋_GB2312" w:hAnsi="仿宋_GB2312" w:cs="仿宋_GB2312" w:hint="eastAsia"/>
          <w:color w:val="auto"/>
          <w:highlight w:val="none"/>
        </w:rPr>
        <w:t xml:space="preserve">得分率为100%</w:t>
      </w:r>
      <w:r>
        <w:rPr>
          <w:rFonts w:ascii="仿宋_GB2312" w:hAnsi="仿宋_GB2312" w:cs="仿宋_GB2312" w:hint="eastAsia"/>
          <w:color w:val="auto"/>
          <w:highlight w:val="none"/>
        </w:rPr>
        <w:t xml:space="preserve">。</w:t>
      </w:r>
    </w:p>
    <w:p>
      <w:pPr>
        <w:pStyle w:val="闻政-正文段落文字"/>
        <w:spacing w:line="520" w:lineRule="exact"/>
        <w:ind w:firstLine="562"/>
        <w:rPr>
          <w:rFonts w:ascii="仿宋_GB2312" w:hAnsi="仿宋_GB2312" w:cs="仿宋_GB2312" w:hint="eastAsia"/>
          <w:b/>
          <w:bCs/>
          <w:color w:val="auto"/>
          <w:highlight w:val="none"/>
        </w:rPr>
      </w:pPr>
      <w:r>
        <w:rPr>
          <w:rFonts w:ascii="仿宋_GB2312" w:hAnsi="仿宋_GB2312" w:cs="仿宋_GB2312" w:hint="eastAsia"/>
          <w:b/>
          <w:bCs/>
          <w:color w:val="auto"/>
          <w:highlight w:val="none"/>
        </w:rPr>
        <w:t xml:space="preserve">1.资金管理</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资金管理指标从资金到位率、预算执行率、资金使用合规性3个方面进行评价，权重分值8分，</w:t>
      </w:r>
      <w:r>
        <w:rPr>
          <w:rFonts w:ascii="仿宋_GB2312" w:hAnsi="仿宋_GB2312" w:cs="仿宋_GB2312" w:hint="eastAsia"/>
          <w:color w:val="auto"/>
          <w:highlight w:val="none"/>
        </w:rPr>
        <w:t xml:space="preserve">实际得分8分</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（1）资金到位率</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财政资金及时足额到位，牵头单位能够及时足额按照合同约定将专项资金拨付给联合体单位，</w:t>
      </w:r>
      <w:r>
        <w:rPr>
          <w:rFonts w:ascii="仿宋_GB2312" w:hAnsi="仿宋_GB2312" w:cs="仿宋_GB2312" w:hint="eastAsia"/>
          <w:color w:val="auto"/>
          <w:highlight w:val="none"/>
        </w:rPr>
        <w:t xml:space="preserve">资金到位率为100%</w:t>
      </w:r>
      <w:r>
        <w:rPr>
          <w:rFonts w:ascii="仿宋_GB2312" w:hAnsi="仿宋_GB2312" w:cs="仿宋_GB2312" w:hint="eastAsia"/>
          <w:color w:val="auto"/>
          <w:highlight w:val="none"/>
        </w:rPr>
        <w:t xml:space="preserve">。预算资金按计划进度执行。根据评分标准，该指标不扣分，</w:t>
      </w:r>
      <w:r>
        <w:rPr>
          <w:rFonts w:ascii="仿宋_GB2312" w:hAnsi="仿宋_GB2312" w:cs="仿宋_GB2312" w:hint="eastAsia"/>
          <w:color w:val="auto"/>
          <w:highlight w:val="none"/>
        </w:rPr>
        <w:t xml:space="preserve">实际得分3分</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（2）预算执行率</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预算编制较为详细，项目资金支出总体能够按照预算执行，</w:t>
      </w:r>
      <w:r>
        <w:rPr>
          <w:rFonts w:ascii="仿宋_GB2312" w:hAnsi="仿宋_GB2312" w:cs="仿宋_GB2312" w:hint="eastAsia"/>
          <w:color w:val="auto"/>
          <w:highlight w:val="none"/>
        </w:rPr>
        <w:t xml:space="preserve">预算执行率为100%</w:t>
      </w:r>
      <w:r>
        <w:rPr>
          <w:rFonts w:ascii="仿宋_GB2312" w:hAnsi="仿宋_GB2312" w:cs="仿宋_GB2312" w:hint="eastAsia"/>
          <w:color w:val="auto"/>
          <w:highlight w:val="none"/>
        </w:rPr>
        <w:t xml:space="preserve">。</w:t>
      </w:r>
      <w:r>
        <w:rPr>
          <w:rFonts w:ascii="仿宋_GB2312" w:hAnsi="仿宋_GB2312" w:cs="仿宋_GB2312" w:hint="eastAsia"/>
          <w:color w:val="auto"/>
          <w:highlight w:val="none"/>
        </w:rPr>
        <w:t xml:space="preserve">根据评分标准，该指标不扣分，</w:t>
      </w:r>
      <w:r>
        <w:rPr>
          <w:rFonts w:ascii="仿宋_GB2312" w:hAnsi="仿宋_GB2312" w:cs="仿宋_GB2312" w:hint="eastAsia"/>
          <w:color w:val="auto"/>
          <w:highlight w:val="none"/>
        </w:rPr>
        <w:t xml:space="preserve">实际得分3分</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（3）资金使用合规性</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w:t>
      </w:r>
      <w:r>
        <w:rPr>
          <w:rFonts w:ascii="仿宋_GB2312" w:hAnsi="仿宋_GB2312" w:cs="仿宋_GB2312" w:hint="eastAsia"/>
          <w:color w:val="auto"/>
          <w:highlight w:val="none"/>
        </w:rPr>
        <w:t xml:space="preserve">实际得分2分</w:t>
      </w:r>
      <w:r>
        <w:rPr>
          <w:rFonts w:ascii="仿宋_GB2312" w:hAnsi="仿宋_GB2312" w:cs="仿宋_GB2312" w:hint="eastAsia"/>
          <w:color w:val="auto"/>
          <w:highlight w:val="none"/>
        </w:rPr>
        <w:t xml:space="preserve">。</w:t>
      </w:r>
    </w:p>
    <w:p>
      <w:pPr>
        <w:pStyle w:val="闻政-正文段落文字"/>
        <w:spacing w:line="520" w:lineRule="exact"/>
        <w:ind w:firstLine="562"/>
        <w:rPr>
          <w:rFonts w:ascii="仿宋_GB2312" w:hAnsi="仿宋_GB2312" w:cs="仿宋_GB2312" w:hint="eastAsia"/>
          <w:b/>
          <w:bCs/>
          <w:color w:val="auto"/>
          <w:highlight w:val="none"/>
        </w:rPr>
      </w:pPr>
      <w:r>
        <w:rPr>
          <w:rFonts w:ascii="仿宋_GB2312" w:hAnsi="仿宋_GB2312" w:cs="仿宋_GB2312" w:hint="eastAsia"/>
          <w:b/>
          <w:bCs/>
          <w:color w:val="auto"/>
          <w:highlight w:val="none"/>
        </w:rPr>
        <w:t xml:space="preserve">2.组织实施</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组织实施指标从管理制度健全性、制度执行有效性、项目实施管理规范性3个方面进行评价，权重分值7分，</w:t>
      </w:r>
      <w:r>
        <w:rPr>
          <w:rFonts w:ascii="仿宋_GB2312" w:hAnsi="仿宋_GB2312" w:cs="仿宋_GB2312" w:hint="eastAsia"/>
          <w:color w:val="auto"/>
          <w:highlight w:val="none"/>
        </w:rPr>
        <w:t xml:space="preserve">实际得分7分</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（1）管理制度健全性</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制定了《</w:t>
      </w:r>
      <w:r>
        <w:rPr>
          <w:rFonts w:ascii="仿宋_GB2312" w:hAnsi="仿宋_GB2312" w:cs="仿宋_GB2312" w:hint="eastAsia"/>
          <w:color w:val="auto"/>
          <w:highlight w:val="none"/>
        </w:rPr>
        <w:t xml:space="preserve">岳普湖县教育局</w:t>
      </w:r>
      <w:r>
        <w:rPr>
          <w:rFonts w:ascii="仿宋_GB2312" w:hAnsi="仿宋_GB2312" w:cs="仿宋_GB2312" w:hint="eastAsia"/>
          <w:color w:val="auto"/>
          <w:highlight w:val="none"/>
        </w:rPr>
        <w:t xml:space="preserve">项目经费管理办法》等相关管理办法，对财政资金进行严格管理，做到专款专用。项目的执行符合《</w:t>
      </w:r>
      <w:r>
        <w:rPr>
          <w:rFonts w:ascii="仿宋_GB2312" w:hAnsi="仿宋_GB2312" w:cs="仿宋_GB2312" w:hint="eastAsia"/>
          <w:color w:val="auto"/>
          <w:highlight w:val="none"/>
        </w:rPr>
        <w:t xml:space="preserve">岳普湖县教育局</w:t>
      </w:r>
      <w:r>
        <w:rPr>
          <w:rFonts w:ascii="仿宋_GB2312" w:hAnsi="仿宋_GB2312" w:cs="仿宋_GB2312" w:hint="eastAsia"/>
          <w:color w:val="auto"/>
          <w:highlight w:val="none"/>
        </w:rPr>
        <w:t xml:space="preserve">项目管理办法》等相关法律法规和管理规定。根据评分标准，该指标不扣分，</w:t>
      </w:r>
      <w:r>
        <w:rPr>
          <w:rFonts w:ascii="仿宋_GB2312" w:hAnsi="仿宋_GB2312" w:cs="仿宋_GB2312" w:hint="eastAsia"/>
          <w:color w:val="auto"/>
          <w:highlight w:val="none"/>
        </w:rPr>
        <w:t xml:space="preserve">实际得分2分</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（2）制度执行有效性</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w:t>
      </w:r>
      <w:r>
        <w:rPr>
          <w:rFonts w:ascii="仿宋_GB2312" w:hAnsi="仿宋_GB2312" w:cs="仿宋_GB2312" w:hint="eastAsia"/>
          <w:color w:val="auto"/>
          <w:highlight w:val="none"/>
        </w:rPr>
        <w:t xml:space="preserve">实际得分2分</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（3）项目实施管理规范性</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①承接主体项目管理制度健全，项目实施符合相关项目管理规定；</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②建立了实施领导机制并建立了完善的实施方案；</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③建立了项目台账，台账记录全面、完整；</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④能接受和配合相关部门的监督检查及绩效评价。</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根据评分标准，该指标不扣分，</w:t>
      </w:r>
      <w:r>
        <w:rPr>
          <w:rFonts w:ascii="仿宋_GB2312" w:hAnsi="仿宋_GB2312" w:cs="仿宋_GB2312" w:hint="eastAsia"/>
          <w:color w:val="auto"/>
          <w:highlight w:val="none"/>
        </w:rPr>
        <w:t xml:space="preserve">实际得分3分</w:t>
      </w:r>
      <w:r>
        <w:rPr>
          <w:rFonts w:ascii="仿宋_GB2312" w:hAnsi="仿宋_GB2312" w:cs="仿宋_GB2312" w:hint="eastAsia"/>
          <w:color w:val="auto"/>
          <w:highlight w:val="none"/>
        </w:rPr>
        <w:t xml:space="preserve">。</w:t>
      </w:r>
    </w:p>
    <w:p>
      <w:pPr>
        <w:pStyle w:val="闻政-正文二级标题"/>
        <w:keepNext w:val="0"/>
        <w:keepLines w:val="0"/>
        <w:spacing w:line="520" w:lineRule="exact"/>
        <w:ind w:left="560"/>
        <w:jc w:val="both"/>
        <w:rPr>
          <w:rFonts w:ascii="仿宋_GB2312" w:hAnsi="仿宋_GB2312" w:cs="仿宋_GB2312" w:hint="eastAsia"/>
          <w:color w:val="auto"/>
          <w:highlight w:val="none"/>
        </w:rPr>
      </w:pPr>
      <w:bookmarkStart w:id="136" w:name="_Toc10055_WPSOffice_Level2"/>
      <w:bookmarkStart w:id="137" w:name="_Toc28910"/>
      <w:bookmarkStart w:id="138" w:name="_Toc28623"/>
      <w:bookmarkStart w:id="139" w:name="_Toc3716"/>
      <w:bookmarkStart w:id="140" w:name="_Toc19500"/>
      <w:bookmarkStart w:id="141" w:name="_Toc12847"/>
      <w:bookmarkStart w:id="142" w:name="_Toc13773_WPSOffice_Level2"/>
      <w:bookmarkStart w:id="143" w:name="_Toc15778_WPSOffice_Level2"/>
      <w:bookmarkStart w:id="144" w:name="_Toc10585"/>
      <w:bookmarkStart w:id="145" w:name="_Toc127054596"/>
      <w:r>
        <w:rPr>
          <w:rFonts w:ascii="仿宋_GB2312" w:hAnsi="仿宋_GB2312" w:cs="仿宋_GB2312" w:hint="eastAsia"/>
          <w:color w:val="auto"/>
          <w:highlight w:val="none"/>
        </w:rPr>
        <w:t xml:space="preserve">（三）项目产出情况</w:t>
      </w:r>
      <w:bookmarkEnd w:id="136"/>
      <w:bookmarkEnd w:id="137"/>
      <w:bookmarkEnd w:id="138"/>
      <w:bookmarkEnd w:id="139"/>
      <w:bookmarkEnd w:id="140"/>
      <w:bookmarkEnd w:id="141"/>
      <w:bookmarkEnd w:id="142"/>
      <w:bookmarkEnd w:id="143"/>
      <w:bookmarkEnd w:id="144"/>
      <w:bookmarkEnd w:id="145"/>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产出类指标包括产出数量、产出质量、产出时效、产出成本四方面的内容，由</w:t>
      </w:r>
      <w:r>
        <w:rPr>
          <w:rFonts w:ascii="仿宋_GB2312" w:hAnsi="仿宋_GB2312" w:cs="仿宋_GB2312" w:hint="eastAsia"/>
          <w:color w:val="auto"/>
          <w:highlight w:val="none"/>
        </w:rPr>
        <w:t xml:space="preserve">8个三级指标构成</w:t>
      </w:r>
      <w:r>
        <w:rPr>
          <w:rFonts w:ascii="仿宋_GB2312" w:hAnsi="仿宋_GB2312" w:cs="仿宋_GB2312" w:hint="eastAsia"/>
          <w:color w:val="auto"/>
          <w:highlight w:val="none"/>
        </w:rPr>
        <w:t xml:space="preserve">，权重分为35分</w:t>
      </w:r>
      <w:r>
        <w:rPr>
          <w:rFonts w:ascii="仿宋_GB2312" w:hAnsi="仿宋_GB2312" w:cs="仿宋_GB2312" w:hint="eastAsia"/>
          <w:color w:val="auto"/>
          <w:highlight w:val="none"/>
        </w:rPr>
        <w:t xml:space="preserve">，</w:t>
      </w:r>
      <w:r>
        <w:rPr>
          <w:rFonts w:ascii="仿宋_GB2312" w:hAnsi="仿宋_GB2312" w:cs="仿宋_GB2312" w:hint="eastAsia"/>
          <w:color w:val="auto"/>
          <w:highlight w:val="none"/>
        </w:rPr>
        <w:t xml:space="preserve">实际得分35分</w:t>
      </w:r>
      <w:r>
        <w:rPr>
          <w:rFonts w:ascii="仿宋_GB2312" w:hAnsi="仿宋_GB2312" w:cs="仿宋_GB2312" w:hint="eastAsia"/>
          <w:color w:val="auto"/>
          <w:highlight w:val="none"/>
        </w:rPr>
        <w:t xml:space="preserve">，</w:t>
      </w:r>
      <w:r>
        <w:rPr>
          <w:rFonts w:ascii="仿宋_GB2312" w:hAnsi="仿宋_GB2312" w:cs="仿宋_GB2312" w:hint="eastAsia"/>
          <w:color w:val="auto"/>
          <w:highlight w:val="none"/>
        </w:rPr>
        <w:t xml:space="preserve">得分率为100</w:t>
      </w:r>
      <w:r>
        <w:rPr>
          <w:rFonts w:ascii="仿宋_GB2312" w:hAnsi="仿宋_GB2312" w:cs="仿宋_GB2312" w:hint="eastAsia"/>
          <w:color w:val="auto"/>
          <w:highlight w:val="none"/>
        </w:rPr>
        <w:t xml:space="preserve">%。</w:t>
      </w:r>
    </w:p>
    <w:p>
      <w:pPr>
        <w:pStyle w:val="闻政-正文段落文字"/>
        <w:spacing w:line="520" w:lineRule="exact"/>
        <w:ind w:firstLine="562"/>
        <w:rPr>
          <w:rFonts w:ascii="仿宋_GB2312" w:hAnsi="仿宋_GB2312" w:cs="仿宋_GB2312" w:hint="eastAsia"/>
          <w:b/>
          <w:bCs/>
          <w:color w:val="auto"/>
          <w:highlight w:val="none"/>
        </w:rPr>
      </w:pPr>
      <w:r>
        <w:rPr>
          <w:rFonts w:ascii="仿宋_GB2312" w:hAnsi="仿宋_GB2312" w:cs="仿宋_GB2312" w:hint="eastAsia"/>
          <w:b/>
          <w:bCs/>
          <w:color w:val="auto"/>
          <w:highlight w:val="none"/>
        </w:rPr>
        <w:t xml:space="preserve">1.产出数量</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生均公用经费保障学生数量</w:t>
      </w:r>
      <w:r>
        <w:rPr>
          <w:rFonts w:ascii="仿宋_GB2312" w:hAnsi="仿宋_GB2312" w:cs="仿宋_GB2312" w:hint="eastAsia"/>
          <w:color w:val="auto"/>
          <w:highlight w:val="none"/>
        </w:rPr>
        <w:t xml:space="preserve">年度指标值为大于</w:t>
      </w:r>
      <w:r>
        <w:rPr>
          <w:rFonts w:ascii="仿宋_GB2312" w:hAnsi="仿宋_GB2312" w:cs="仿宋_GB2312" w:hint="eastAsia"/>
          <w:color w:val="auto"/>
          <w:highlight w:val="none"/>
        </w:rPr>
        <w:t xml:space="preserve">等于35620人</w:t>
      </w:r>
      <w:r>
        <w:rPr>
          <w:rFonts w:ascii="仿宋_GB2312" w:hAnsi="仿宋_GB2312" w:cs="仿宋_GB2312" w:hint="eastAsia"/>
          <w:color w:val="auto"/>
          <w:highlight w:val="none"/>
        </w:rPr>
        <w:t xml:space="preserve">，实际完成值为</w:t>
      </w:r>
      <w:r>
        <w:rPr>
          <w:rFonts w:ascii="仿宋_GB2312" w:hAnsi="仿宋_GB2312" w:cs="仿宋_GB2312" w:hint="eastAsia"/>
          <w:color w:val="auto"/>
          <w:highlight w:val="none"/>
        </w:rPr>
        <w:t xml:space="preserve">35620人</w:t>
      </w:r>
      <w:r>
        <w:rPr>
          <w:rFonts w:ascii="仿宋_GB2312" w:hAnsi="仿宋_GB2312" w:cs="仿宋_GB2312" w:hint="eastAsia"/>
          <w:color w:val="auto"/>
          <w:highlight w:val="none"/>
        </w:rPr>
        <w:t xml:space="preserve">，完成预期目标，根据评分标准，</w:t>
      </w:r>
      <w:r>
        <w:rPr>
          <w:rFonts w:ascii="仿宋_GB2312" w:hAnsi="仿宋_GB2312" w:cs="仿宋_GB2312" w:hint="eastAsia"/>
          <w:color w:val="auto"/>
          <w:highlight w:val="none"/>
        </w:rPr>
        <w:t xml:space="preserve">该指标不扣分</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产出数量</w:t>
      </w:r>
      <w:r>
        <w:rPr>
          <w:rFonts w:ascii="仿宋_GB2312" w:hAnsi="仿宋_GB2312" w:cs="仿宋_GB2312" w:hint="eastAsia"/>
          <w:color w:val="auto"/>
          <w:highlight w:val="none"/>
        </w:rPr>
        <w:t xml:space="preserve">三级指标共计1个</w:t>
      </w:r>
      <w:r>
        <w:rPr>
          <w:rFonts w:ascii="仿宋_GB2312" w:hAnsi="仿宋_GB2312" w:cs="仿宋_GB2312" w:hint="eastAsia"/>
          <w:color w:val="auto"/>
          <w:highlight w:val="none"/>
        </w:rPr>
        <w:t xml:space="preserve">，指标从实际完成情况方面进行评价，权重分值9分，</w:t>
      </w:r>
      <w:r>
        <w:rPr>
          <w:rFonts w:ascii="仿宋_GB2312" w:hAnsi="仿宋_GB2312" w:cs="仿宋_GB2312" w:hint="eastAsia"/>
          <w:color w:val="auto"/>
          <w:highlight w:val="none"/>
        </w:rPr>
        <w:t xml:space="preserve">实际得分9分</w:t>
      </w:r>
      <w:r>
        <w:rPr>
          <w:rFonts w:ascii="仿宋_GB2312" w:hAnsi="仿宋_GB2312" w:cs="仿宋_GB2312" w:hint="eastAsia"/>
          <w:color w:val="auto"/>
          <w:highlight w:val="none"/>
        </w:rPr>
        <w:t xml:space="preserve">。</w:t>
      </w:r>
    </w:p>
    <w:p>
      <w:pPr>
        <w:pStyle w:val="闻政-正文段落文字"/>
        <w:spacing w:line="520" w:lineRule="exact"/>
        <w:ind w:firstLine="562"/>
        <w:rPr>
          <w:rFonts w:ascii="仿宋_GB2312" w:hAnsi="仿宋_GB2312" w:cs="仿宋_GB2312" w:hint="eastAsia"/>
          <w:b/>
          <w:bCs/>
          <w:color w:val="auto"/>
          <w:highlight w:val="none"/>
        </w:rPr>
      </w:pPr>
      <w:r>
        <w:rPr>
          <w:rFonts w:ascii="仿宋_GB2312" w:hAnsi="仿宋_GB2312" w:cs="仿宋_GB2312" w:hint="eastAsia"/>
          <w:b/>
          <w:bCs/>
          <w:color w:val="auto"/>
          <w:highlight w:val="none"/>
        </w:rPr>
        <w:t xml:space="preserve">2.产出质量</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享受免费教科书政策的学生比例</w:t>
      </w:r>
      <w:r>
        <w:rPr>
          <w:rFonts w:ascii="仿宋_GB2312" w:hAnsi="仿宋_GB2312" w:cs="仿宋_GB2312" w:hint="eastAsia"/>
          <w:color w:val="auto"/>
          <w:highlight w:val="none"/>
        </w:rPr>
        <w:t xml:space="preserve">年度指标值为</w:t>
      </w:r>
      <w:r>
        <w:rPr>
          <w:rFonts w:ascii="仿宋_GB2312" w:hAnsi="仿宋_GB2312" w:cs="仿宋_GB2312" w:hint="eastAsia"/>
          <w:color w:val="auto"/>
          <w:highlight w:val="none"/>
        </w:rPr>
        <w:t xml:space="preserve">等于100%</w:t>
      </w:r>
      <w:r>
        <w:rPr>
          <w:rFonts w:ascii="仿宋_GB2312" w:hAnsi="仿宋_GB2312" w:cs="仿宋_GB2312" w:hint="eastAsia"/>
          <w:color w:val="auto"/>
          <w:highlight w:val="none"/>
        </w:rPr>
        <w:t xml:space="preserve">，实际完成值为</w:t>
      </w:r>
      <w:r>
        <w:rPr>
          <w:rFonts w:ascii="仿宋_GB2312" w:hAnsi="仿宋_GB2312" w:cs="仿宋_GB2312" w:hint="eastAsia"/>
          <w:color w:val="auto"/>
          <w:highlight w:val="none"/>
        </w:rPr>
        <w:t xml:space="preserve">100%</w:t>
      </w:r>
      <w:r>
        <w:rPr>
          <w:rFonts w:ascii="仿宋_GB2312" w:hAnsi="仿宋_GB2312" w:cs="仿宋_GB2312" w:hint="eastAsia"/>
          <w:color w:val="auto"/>
          <w:highlight w:val="none"/>
        </w:rPr>
        <w:t xml:space="preserve">，完成预期目标，根据评分标准，</w:t>
      </w:r>
      <w:r>
        <w:rPr>
          <w:rFonts w:ascii="仿宋_GB2312" w:hAnsi="仿宋_GB2312" w:cs="仿宋_GB2312" w:hint="eastAsia"/>
          <w:color w:val="auto"/>
          <w:highlight w:val="none"/>
        </w:rPr>
        <w:t xml:space="preserve">该指标不扣分</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教科书质量合格率</w:t>
      </w:r>
      <w:r>
        <w:rPr>
          <w:rFonts w:ascii="仿宋_GB2312" w:hAnsi="仿宋_GB2312" w:cs="仿宋_GB2312" w:hint="eastAsia"/>
          <w:color w:val="auto"/>
          <w:highlight w:val="none"/>
        </w:rPr>
        <w:t xml:space="preserve">年度指标值为</w:t>
      </w:r>
      <w:r>
        <w:rPr>
          <w:rFonts w:ascii="仿宋_GB2312" w:hAnsi="仿宋_GB2312" w:cs="仿宋_GB2312" w:hint="eastAsia"/>
          <w:color w:val="auto"/>
          <w:highlight w:val="none"/>
        </w:rPr>
        <w:t xml:space="preserve">等于0%</w:t>
      </w:r>
      <w:r>
        <w:rPr>
          <w:rFonts w:ascii="仿宋_GB2312" w:hAnsi="仿宋_GB2312" w:cs="仿宋_GB2312" w:hint="eastAsia"/>
          <w:color w:val="auto"/>
          <w:highlight w:val="none"/>
        </w:rPr>
        <w:t xml:space="preserve">，实际完成值为</w:t>
      </w:r>
      <w:r>
        <w:rPr>
          <w:rFonts w:ascii="仿宋_GB2312" w:hAnsi="仿宋_GB2312" w:cs="仿宋_GB2312" w:hint="eastAsia"/>
          <w:color w:val="auto"/>
          <w:highlight w:val="none"/>
        </w:rPr>
        <w:t xml:space="preserve">0%</w:t>
      </w:r>
      <w:r>
        <w:rPr>
          <w:rFonts w:ascii="仿宋_GB2312" w:hAnsi="仿宋_GB2312" w:cs="仿宋_GB2312" w:hint="eastAsia"/>
          <w:color w:val="auto"/>
          <w:highlight w:val="none"/>
        </w:rPr>
        <w:t xml:space="preserve">，完成预期目标，根据评分标准，</w:t>
      </w:r>
      <w:r>
        <w:rPr>
          <w:rFonts w:ascii="仿宋_GB2312" w:hAnsi="仿宋_GB2312" w:cs="仿宋_GB2312" w:hint="eastAsia"/>
          <w:color w:val="auto"/>
          <w:highlight w:val="none"/>
        </w:rPr>
        <w:t xml:space="preserve">该指标不扣分</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农村学校校舍日常维修改造质量达标率</w:t>
      </w:r>
      <w:r>
        <w:rPr>
          <w:rFonts w:ascii="仿宋_GB2312" w:hAnsi="仿宋_GB2312" w:cs="仿宋_GB2312" w:hint="eastAsia"/>
          <w:color w:val="auto"/>
          <w:highlight w:val="none"/>
        </w:rPr>
        <w:t xml:space="preserve">年度指标值为</w:t>
      </w:r>
      <w:r>
        <w:rPr>
          <w:rFonts w:ascii="仿宋_GB2312" w:hAnsi="仿宋_GB2312" w:cs="仿宋_GB2312" w:hint="eastAsia"/>
          <w:color w:val="auto"/>
          <w:highlight w:val="none"/>
        </w:rPr>
        <w:t xml:space="preserve">等于100%</w:t>
      </w:r>
      <w:r>
        <w:rPr>
          <w:rFonts w:ascii="仿宋_GB2312" w:hAnsi="仿宋_GB2312" w:cs="仿宋_GB2312" w:hint="eastAsia"/>
          <w:color w:val="auto"/>
          <w:highlight w:val="none"/>
        </w:rPr>
        <w:t xml:space="preserve">，实际完成值为</w:t>
      </w:r>
      <w:r>
        <w:rPr>
          <w:rFonts w:ascii="仿宋_GB2312" w:hAnsi="仿宋_GB2312" w:cs="仿宋_GB2312" w:hint="eastAsia"/>
          <w:color w:val="auto"/>
          <w:highlight w:val="none"/>
        </w:rPr>
        <w:t xml:space="preserve">100%</w:t>
      </w:r>
      <w:r>
        <w:rPr>
          <w:rFonts w:ascii="仿宋_GB2312" w:hAnsi="仿宋_GB2312" w:cs="仿宋_GB2312" w:hint="eastAsia"/>
          <w:color w:val="auto"/>
          <w:highlight w:val="none"/>
        </w:rPr>
        <w:t xml:space="preserve">，完成预期目标，根据评分标准，</w:t>
      </w:r>
      <w:r>
        <w:rPr>
          <w:rFonts w:ascii="仿宋_GB2312" w:hAnsi="仿宋_GB2312" w:cs="仿宋_GB2312" w:hint="eastAsia"/>
          <w:color w:val="auto"/>
          <w:highlight w:val="none"/>
        </w:rPr>
        <w:t xml:space="preserve">该指标不扣分</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义务教育公用经费政策覆盖率</w:t>
      </w:r>
      <w:r>
        <w:rPr>
          <w:rFonts w:ascii="仿宋_GB2312" w:hAnsi="仿宋_GB2312" w:cs="仿宋_GB2312" w:hint="eastAsia"/>
          <w:color w:val="auto"/>
          <w:highlight w:val="none"/>
        </w:rPr>
        <w:t xml:space="preserve">年度指标值为</w:t>
      </w:r>
      <w:r>
        <w:rPr>
          <w:rFonts w:ascii="仿宋_GB2312" w:hAnsi="仿宋_GB2312" w:cs="仿宋_GB2312" w:hint="eastAsia"/>
          <w:color w:val="auto"/>
          <w:highlight w:val="none"/>
        </w:rPr>
        <w:t xml:space="preserve">等于100%</w:t>
      </w:r>
      <w:r>
        <w:rPr>
          <w:rFonts w:ascii="仿宋_GB2312" w:hAnsi="仿宋_GB2312" w:cs="仿宋_GB2312" w:hint="eastAsia"/>
          <w:color w:val="auto"/>
          <w:highlight w:val="none"/>
        </w:rPr>
        <w:t xml:space="preserve">，实际完成值为</w:t>
      </w:r>
      <w:r>
        <w:rPr>
          <w:rFonts w:ascii="仿宋_GB2312" w:hAnsi="仿宋_GB2312" w:cs="仿宋_GB2312" w:hint="eastAsia"/>
          <w:color w:val="auto"/>
          <w:highlight w:val="none"/>
        </w:rPr>
        <w:t xml:space="preserve">100%</w:t>
      </w:r>
      <w:r>
        <w:rPr>
          <w:rFonts w:ascii="仿宋_GB2312" w:hAnsi="仿宋_GB2312" w:cs="仿宋_GB2312" w:hint="eastAsia"/>
          <w:color w:val="auto"/>
          <w:highlight w:val="none"/>
        </w:rPr>
        <w:t xml:space="preserve">，完成预期目标，根据评分标准，</w:t>
      </w:r>
      <w:r>
        <w:rPr>
          <w:rFonts w:ascii="仿宋_GB2312" w:hAnsi="仿宋_GB2312" w:cs="仿宋_GB2312" w:hint="eastAsia"/>
          <w:color w:val="auto"/>
          <w:highlight w:val="none"/>
        </w:rPr>
        <w:t xml:space="preserve">该指标不扣分</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产出质量</w:t>
      </w:r>
      <w:r>
        <w:rPr>
          <w:rFonts w:ascii="仿宋_GB2312" w:hAnsi="仿宋_GB2312" w:cs="仿宋_GB2312" w:hint="eastAsia"/>
          <w:color w:val="auto"/>
          <w:highlight w:val="none"/>
        </w:rPr>
        <w:t xml:space="preserve">三级指标共计4个</w:t>
      </w:r>
      <w:r>
        <w:rPr>
          <w:rFonts w:ascii="仿宋_GB2312" w:hAnsi="仿宋_GB2312" w:cs="仿宋_GB2312" w:hint="eastAsia"/>
          <w:color w:val="auto"/>
          <w:highlight w:val="none"/>
        </w:rPr>
        <w:t xml:space="preserve">，指标从质量达标方面进行评价，权重分值9分，</w:t>
      </w:r>
      <w:r>
        <w:rPr>
          <w:rFonts w:ascii="仿宋_GB2312" w:hAnsi="仿宋_GB2312" w:cs="仿宋_GB2312" w:hint="eastAsia"/>
          <w:color w:val="auto"/>
          <w:highlight w:val="none"/>
        </w:rPr>
        <w:t xml:space="preserve">实际得分9分。</w:t>
      </w:r>
    </w:p>
    <w:p>
      <w:pPr>
        <w:pStyle w:val="闻政-正文段落文字"/>
        <w:spacing w:line="520" w:lineRule="exact"/>
        <w:ind w:firstLine="562"/>
        <w:rPr>
          <w:rFonts w:ascii="仿宋_GB2312" w:hAnsi="仿宋_GB2312" w:cs="仿宋_GB2312" w:hint="eastAsia"/>
          <w:b/>
          <w:bCs/>
          <w:color w:val="auto"/>
          <w:highlight w:val="none"/>
        </w:rPr>
      </w:pPr>
      <w:r>
        <w:rPr>
          <w:rFonts w:ascii="仿宋_GB2312" w:hAnsi="仿宋_GB2312" w:cs="仿宋_GB2312" w:hint="eastAsia"/>
          <w:b/>
          <w:bCs/>
          <w:color w:val="auto"/>
          <w:highlight w:val="none"/>
        </w:rPr>
        <w:t xml:space="preserve">3.产出时效</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资金支付完成时间</w:t>
      </w:r>
      <w:r>
        <w:rPr>
          <w:rFonts w:ascii="仿宋_GB2312" w:hAnsi="仿宋_GB2312" w:cs="仿宋_GB2312" w:hint="eastAsia"/>
          <w:color w:val="auto"/>
          <w:highlight w:val="none"/>
        </w:rPr>
        <w:t xml:space="preserve">年度指标值为</w:t>
      </w:r>
      <w:r>
        <w:rPr>
          <w:rFonts w:ascii="仿宋_GB2312" w:hAnsi="仿宋_GB2312" w:cs="仿宋_GB2312" w:hint="eastAsia"/>
          <w:color w:val="auto"/>
          <w:highlight w:val="none"/>
        </w:rPr>
        <w:t xml:space="preserve">2024年12月30日前</w:t>
      </w:r>
      <w:r>
        <w:rPr>
          <w:rFonts w:ascii="仿宋_GB2312" w:hAnsi="仿宋_GB2312" w:cs="仿宋_GB2312" w:hint="eastAsia"/>
          <w:color w:val="auto"/>
          <w:highlight w:val="none"/>
        </w:rPr>
        <w:t xml:space="preserve">，实际完成值为</w:t>
      </w:r>
      <w:r>
        <w:rPr>
          <w:rFonts w:ascii="仿宋_GB2312" w:hAnsi="仿宋_GB2312" w:cs="仿宋_GB2312" w:hint="eastAsia"/>
          <w:color w:val="auto"/>
          <w:highlight w:val="none"/>
        </w:rPr>
        <w:t xml:space="preserve">2024年12月17日，</w:t>
      </w:r>
      <w:r>
        <w:rPr>
          <w:rFonts w:ascii="仿宋_GB2312" w:hAnsi="仿宋_GB2312" w:cs="仿宋_GB2312" w:hint="eastAsia"/>
          <w:color w:val="auto"/>
          <w:highlight w:val="none"/>
        </w:rPr>
        <w:t xml:space="preserve">完成预期目标，根据评分标准，</w:t>
      </w:r>
      <w:r>
        <w:rPr>
          <w:rFonts w:ascii="仿宋_GB2312" w:hAnsi="仿宋_GB2312" w:cs="仿宋_GB2312" w:hint="eastAsia"/>
          <w:color w:val="auto"/>
          <w:highlight w:val="none"/>
        </w:rPr>
        <w:t xml:space="preserve">该指标不扣分</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项目完成及时率</w:t>
      </w:r>
      <w:r>
        <w:rPr>
          <w:rFonts w:ascii="仿宋_GB2312" w:hAnsi="仿宋_GB2312" w:cs="仿宋_GB2312" w:hint="eastAsia"/>
          <w:color w:val="auto"/>
          <w:highlight w:val="none"/>
        </w:rPr>
        <w:t xml:space="preserve">年度指标值为</w:t>
      </w:r>
      <w:r>
        <w:rPr>
          <w:rFonts w:ascii="仿宋_GB2312" w:hAnsi="仿宋_GB2312" w:cs="仿宋_GB2312" w:hint="eastAsia"/>
          <w:color w:val="auto"/>
          <w:highlight w:val="none"/>
        </w:rPr>
        <w:t xml:space="preserve">等于100%</w:t>
      </w:r>
      <w:r>
        <w:rPr>
          <w:rFonts w:ascii="仿宋_GB2312" w:hAnsi="仿宋_GB2312" w:cs="仿宋_GB2312" w:hint="eastAsia"/>
          <w:color w:val="auto"/>
          <w:highlight w:val="none"/>
        </w:rPr>
        <w:t xml:space="preserve">，实际完成值为</w:t>
      </w:r>
      <w:r>
        <w:rPr>
          <w:rFonts w:ascii="仿宋_GB2312" w:hAnsi="仿宋_GB2312" w:cs="仿宋_GB2312" w:hint="eastAsia"/>
          <w:color w:val="auto"/>
          <w:highlight w:val="none"/>
        </w:rPr>
        <w:t xml:space="preserve">100%</w:t>
      </w:r>
      <w:r>
        <w:rPr>
          <w:rFonts w:ascii="仿宋_GB2312" w:hAnsi="仿宋_GB2312" w:cs="仿宋_GB2312" w:hint="eastAsia"/>
          <w:color w:val="auto"/>
          <w:highlight w:val="none"/>
        </w:rPr>
        <w:t xml:space="preserve">，完成预期目标，根据评分标准，</w:t>
      </w:r>
      <w:r>
        <w:rPr>
          <w:rFonts w:ascii="仿宋_GB2312" w:hAnsi="仿宋_GB2312" w:cs="仿宋_GB2312" w:hint="eastAsia"/>
          <w:color w:val="auto"/>
          <w:highlight w:val="none"/>
        </w:rPr>
        <w:t xml:space="preserve">该指标不扣分</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产出时效</w:t>
      </w:r>
      <w:r>
        <w:rPr>
          <w:rFonts w:ascii="仿宋_GB2312" w:hAnsi="仿宋_GB2312" w:cs="仿宋_GB2312" w:hint="eastAsia"/>
          <w:color w:val="auto"/>
          <w:highlight w:val="none"/>
        </w:rPr>
        <w:t xml:space="preserve">三级指标共计2个</w:t>
      </w:r>
      <w:r>
        <w:rPr>
          <w:rFonts w:ascii="仿宋_GB2312" w:hAnsi="仿宋_GB2312" w:cs="仿宋_GB2312" w:hint="eastAsia"/>
          <w:color w:val="auto"/>
          <w:highlight w:val="none"/>
        </w:rPr>
        <w:t xml:space="preserve">，指标从完成及时性方面进行评价，权重分值8分，</w:t>
      </w:r>
      <w:r>
        <w:rPr>
          <w:rFonts w:ascii="仿宋_GB2312" w:hAnsi="仿宋_GB2312" w:cs="仿宋_GB2312" w:hint="eastAsia"/>
          <w:color w:val="auto"/>
          <w:highlight w:val="none"/>
        </w:rPr>
        <w:t xml:space="preserve">实际得分8分</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b/>
          <w:bCs/>
          <w:color w:val="auto"/>
          <w:highlight w:val="none"/>
        </w:rPr>
      </w:pPr>
      <w:bookmarkStart w:id="146" w:name="_Toc1244"/>
      <w:bookmarkStart w:id="147" w:name="_Toc17557"/>
      <w:bookmarkStart w:id="148" w:name="_Toc646"/>
      <w:bookmarkStart w:id="149" w:name="_Toc25428"/>
      <w:bookmarkStart w:id="150" w:name="_Toc26374_WPSOffice_Level2"/>
      <w:bookmarkStart w:id="151" w:name="_Toc127054597"/>
      <w:bookmarkStart w:id="152" w:name="_Toc32262_WPSOffice_Level2"/>
      <w:bookmarkStart w:id="153" w:name="_Toc21869"/>
      <w:bookmarkStart w:id="154" w:name="_Toc4222"/>
      <w:bookmarkStart w:id="155" w:name="_Toc20923_WPSOffice_Level2"/>
      <w:r>
        <w:rPr>
          <w:rFonts w:ascii="仿宋_GB2312" w:hAnsi="仿宋_GB2312" w:cs="仿宋_GB2312" w:hint="eastAsia"/>
          <w:color w:val="auto"/>
          <w:highlight w:val="none"/>
        </w:rPr>
        <w:t xml:space="preserve">4</w:t>
      </w:r>
      <w:r>
        <w:rPr>
          <w:rFonts w:ascii="仿宋_GB2312" w:hAnsi="仿宋_GB2312" w:cs="仿宋_GB2312" w:hint="eastAsia"/>
          <w:b/>
          <w:bCs/>
          <w:color w:val="auto"/>
          <w:highlight w:val="none"/>
        </w:rPr>
        <w:t xml:space="preserve">.产出成本</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生均公用经费（补贴标准）</w:t>
      </w:r>
      <w:r>
        <w:rPr>
          <w:rFonts w:ascii="仿宋_GB2312" w:hAnsi="仿宋_GB2312" w:cs="仿宋_GB2312" w:hint="eastAsia"/>
          <w:color w:val="auto"/>
          <w:highlight w:val="none"/>
        </w:rPr>
        <w:t xml:space="preserve">年度指标值为小于</w:t>
      </w:r>
      <w:r>
        <w:rPr>
          <w:rFonts w:ascii="仿宋_GB2312" w:hAnsi="仿宋_GB2312" w:cs="仿宋_GB2312" w:hint="eastAsia"/>
          <w:color w:val="auto"/>
          <w:highlight w:val="none"/>
        </w:rPr>
        <w:t xml:space="preserve">等于1089.489元/人</w:t>
      </w:r>
      <w:r>
        <w:rPr>
          <w:rFonts w:ascii="仿宋_GB2312" w:hAnsi="仿宋_GB2312" w:cs="仿宋_GB2312" w:hint="eastAsia"/>
          <w:color w:val="auto"/>
          <w:highlight w:val="none"/>
        </w:rPr>
        <w:t xml:space="preserve">，实际完成值为</w:t>
      </w:r>
      <w:r>
        <w:rPr>
          <w:rFonts w:ascii="仿宋_GB2312" w:hAnsi="仿宋_GB2312" w:cs="仿宋_GB2312" w:hint="eastAsia"/>
          <w:color w:val="auto"/>
          <w:highlight w:val="none"/>
        </w:rPr>
        <w:t xml:space="preserve">1089.489元/人</w:t>
      </w:r>
      <w:r>
        <w:rPr>
          <w:rFonts w:ascii="仿宋_GB2312" w:hAnsi="仿宋_GB2312" w:cs="仿宋_GB2312" w:hint="eastAsia"/>
          <w:color w:val="auto"/>
          <w:highlight w:val="none"/>
        </w:rPr>
        <w:t xml:space="preserve">，完成预期目标，根据评分标准，该指标不扣分。</w:t>
      </w:r>
    </w:p>
    <w:p>
      <w:pPr>
        <w:pStyle w:val="闻政-正文段落文字"/>
        <w:ind w:firstLine="560"/>
        <w:rPr>
          <w:color w:val="auto"/>
          <w:highlight w:val="none"/>
        </w:rPr>
      </w:pPr>
      <w:r>
        <w:rPr>
          <w:rFonts w:ascii="仿宋_GB2312" w:hAnsi="仿宋_GB2312" w:cs="仿宋_GB2312" w:hint="eastAsia"/>
          <w:color w:val="auto"/>
          <w:highlight w:val="none"/>
        </w:rPr>
        <w:t xml:space="preserve">产出成本</w:t>
      </w:r>
      <w:r>
        <w:rPr>
          <w:rFonts w:ascii="仿宋_GB2312" w:hAnsi="仿宋_GB2312" w:cs="仿宋_GB2312" w:hint="eastAsia"/>
          <w:color w:val="auto"/>
          <w:highlight w:val="none"/>
        </w:rPr>
        <w:t xml:space="preserve">三级指标共计1个</w:t>
      </w:r>
      <w:r>
        <w:rPr>
          <w:rFonts w:ascii="仿宋_GB2312" w:hAnsi="仿宋_GB2312" w:cs="仿宋_GB2312" w:hint="eastAsia"/>
          <w:color w:val="auto"/>
          <w:highlight w:val="none"/>
        </w:rPr>
        <w:t xml:space="preserve">，指标从成本节约情况进行评价，权重分值9分，</w:t>
      </w:r>
      <w:r>
        <w:rPr>
          <w:rFonts w:ascii="仿宋_GB2312" w:hAnsi="仿宋_GB2312" w:cs="仿宋_GB2312" w:hint="eastAsia"/>
          <w:color w:val="auto"/>
          <w:highlight w:val="none"/>
        </w:rPr>
        <w:t xml:space="preserve">实际得分9分</w:t>
      </w:r>
      <w:r>
        <w:rPr>
          <w:rFonts w:ascii="仿宋_GB2312" w:hAnsi="仿宋_GB2312" w:cs="仿宋_GB2312" w:hint="eastAsia"/>
          <w:color w:val="auto"/>
          <w:highlight w:val="none"/>
        </w:rPr>
        <w:t xml:space="preserve">。</w:t>
      </w:r>
    </w:p>
    <w:p>
      <w:pPr>
        <w:pStyle w:val="闻政-正文二级标题"/>
        <w:keepNext w:val="0"/>
        <w:keepLines w:val="0"/>
        <w:spacing w:line="520" w:lineRule="exact"/>
        <w:ind w:left="560"/>
        <w:jc w:val="both"/>
        <w:rPr>
          <w:rFonts w:ascii="仿宋_GB2312" w:hAnsi="仿宋_GB2312" w:cs="仿宋_GB2312" w:hint="eastAsia"/>
          <w:color w:val="auto"/>
          <w:highlight w:val="none"/>
        </w:rPr>
      </w:pPr>
      <w:r>
        <w:rPr>
          <w:rFonts w:ascii="仿宋_GB2312" w:hAnsi="仿宋_GB2312" w:cs="仿宋_GB2312" w:hint="eastAsia"/>
          <w:color w:val="auto"/>
          <w:highlight w:val="none"/>
        </w:rPr>
        <w:t xml:space="preserve">（四）项目效益情况</w:t>
      </w:r>
      <w:bookmarkEnd w:id="146"/>
      <w:bookmarkEnd w:id="147"/>
      <w:bookmarkEnd w:id="148"/>
      <w:bookmarkEnd w:id="149"/>
      <w:bookmarkEnd w:id="150"/>
      <w:bookmarkEnd w:id="151"/>
      <w:bookmarkEnd w:id="152"/>
      <w:bookmarkEnd w:id="153"/>
      <w:bookmarkEnd w:id="154"/>
      <w:bookmarkEnd w:id="155"/>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效益类指标包括项目效益1个方面的内容，由</w:t>
      </w:r>
      <w:r>
        <w:rPr>
          <w:rFonts w:ascii="仿宋_GB2312" w:hAnsi="仿宋_GB2312" w:cs="仿宋_GB2312" w:hint="eastAsia"/>
          <w:color w:val="auto"/>
          <w:highlight w:val="none"/>
        </w:rPr>
        <w:t xml:space="preserve">1个三级指标</w:t>
      </w:r>
      <w:r>
        <w:rPr>
          <w:rFonts w:ascii="仿宋_GB2312" w:hAnsi="仿宋_GB2312" w:cs="仿宋_GB2312" w:hint="eastAsia"/>
          <w:color w:val="auto"/>
          <w:highlight w:val="none"/>
        </w:rPr>
        <w:t xml:space="preserve">构成，权重分为20分，</w:t>
      </w:r>
      <w:r>
        <w:rPr>
          <w:rFonts w:ascii="仿宋_GB2312" w:hAnsi="仿宋_GB2312" w:cs="仿宋_GB2312" w:hint="eastAsia"/>
          <w:color w:val="auto"/>
          <w:highlight w:val="none"/>
        </w:rPr>
        <w:t xml:space="preserve">实际得分20分，得分率为100%</w:t>
      </w:r>
      <w:r>
        <w:rPr>
          <w:rFonts w:ascii="仿宋_GB2312" w:hAnsi="仿宋_GB2312" w:cs="仿宋_GB2312" w:hint="eastAsia"/>
          <w:color w:val="auto"/>
          <w:highlight w:val="none"/>
        </w:rPr>
        <w:t xml:space="preserve">。</w:t>
      </w:r>
    </w:p>
    <w:p>
      <w:pPr>
        <w:pStyle w:val="闻政-正文段落文字"/>
        <w:spacing w:line="520" w:lineRule="exact"/>
        <w:ind w:firstLine="562"/>
        <w:rPr>
          <w:rFonts w:ascii="仿宋_GB2312" w:hAnsi="仿宋_GB2312" w:cs="仿宋_GB2312" w:hint="eastAsia"/>
          <w:b/>
          <w:bCs/>
          <w:color w:val="auto"/>
          <w:highlight w:val="none"/>
        </w:rPr>
      </w:pPr>
      <w:r>
        <w:rPr>
          <w:rFonts w:ascii="仿宋_GB2312" w:hAnsi="仿宋_GB2312" w:cs="仿宋_GB2312" w:hint="eastAsia"/>
          <w:b/>
          <w:bCs/>
          <w:color w:val="auto"/>
          <w:highlight w:val="none"/>
        </w:rPr>
        <w:t xml:space="preserve">1.项目效益</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（1）实施效益指标</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实施效益指标从项目实施所产生的效益方面进行评价，权重分值20分，</w:t>
      </w:r>
      <w:r>
        <w:rPr>
          <w:rFonts w:ascii="仿宋_GB2312" w:hAnsi="仿宋_GB2312" w:cs="仿宋_GB2312" w:hint="eastAsia"/>
          <w:color w:val="auto"/>
          <w:highlight w:val="none"/>
        </w:rPr>
        <w:t xml:space="preserve">实际得分20分</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①项目实施的经济效益分析</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本项目无此指标。</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②项目实施的社会效益分析</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减轻学生家庭经济负担</w:t>
      </w:r>
      <w:r>
        <w:rPr>
          <w:rFonts w:ascii="仿宋_GB2312" w:hAnsi="仿宋_GB2312" w:cs="仿宋_GB2312" w:hint="eastAsia"/>
          <w:color w:val="auto"/>
          <w:highlight w:val="none"/>
        </w:rPr>
        <w:t xml:space="preserve">年度指标值为</w:t>
      </w:r>
      <w:r>
        <w:rPr>
          <w:rFonts w:ascii="仿宋_GB2312" w:hAnsi="仿宋_GB2312" w:cs="仿宋_GB2312" w:hint="eastAsia"/>
          <w:color w:val="auto"/>
          <w:highlight w:val="none"/>
        </w:rPr>
        <w:t xml:space="preserve">有效减轻</w:t>
      </w:r>
      <w:r>
        <w:rPr>
          <w:rFonts w:ascii="仿宋_GB2312" w:hAnsi="仿宋_GB2312" w:cs="仿宋_GB2312" w:hint="eastAsia"/>
          <w:color w:val="auto"/>
          <w:highlight w:val="none"/>
        </w:rPr>
        <w:t xml:space="preserve">，实际完成值为</w:t>
      </w:r>
      <w:r>
        <w:rPr>
          <w:rFonts w:ascii="仿宋_GB2312" w:hAnsi="仿宋_GB2312" w:cs="仿宋_GB2312" w:hint="eastAsia"/>
          <w:color w:val="auto"/>
          <w:highlight w:val="none"/>
        </w:rPr>
        <w:t xml:space="preserve">有效减轻</w:t>
      </w:r>
      <w:r>
        <w:rPr>
          <w:rFonts w:ascii="仿宋_GB2312" w:hAnsi="仿宋_GB2312" w:cs="仿宋_GB2312" w:hint="eastAsia"/>
          <w:color w:val="auto"/>
          <w:highlight w:val="none"/>
        </w:rPr>
        <w:t xml:space="preserve">，完成预期目标，根据评分标准，该指标不扣分，</w:t>
      </w:r>
      <w:r>
        <w:rPr>
          <w:rFonts w:ascii="仿宋_GB2312" w:hAnsi="仿宋_GB2312" w:cs="仿宋_GB2312" w:hint="eastAsia"/>
          <w:color w:val="auto"/>
          <w:highlight w:val="none"/>
        </w:rPr>
        <w:t xml:space="preserve">实际得20分</w:t>
      </w:r>
      <w:r>
        <w:rPr>
          <w:rFonts w:ascii="仿宋_GB2312" w:hAnsi="仿宋_GB2312" w:cs="仿宋_GB2312" w:hint="eastAsia"/>
          <w:color w:val="auto"/>
          <w:highlight w:val="none"/>
        </w:rPr>
        <w:t xml:space="preserve">。</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③项目实施的生态效益分析</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本项目无此指标。</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④项目实施的可持续影响分析</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本项目无此指标。</w:t>
      </w:r>
    </w:p>
    <w:p>
      <w:pPr>
        <w:pStyle w:val="闻政-正文二级标题"/>
        <w:keepNext w:val="0"/>
        <w:keepLines w:val="0"/>
        <w:spacing w:line="520" w:lineRule="exact"/>
        <w:ind w:left="560"/>
        <w:jc w:val="both"/>
        <w:rPr>
          <w:rFonts w:ascii="仿宋_GB2312" w:hAnsi="仿宋_GB2312" w:cs="仿宋_GB2312" w:hint="eastAsia"/>
          <w:color w:val="auto"/>
          <w:highlight w:val="none"/>
        </w:rPr>
      </w:pPr>
      <w:r>
        <w:rPr>
          <w:rFonts w:ascii="仿宋_GB2312" w:hAnsi="仿宋_GB2312" w:cs="仿宋_GB2312" w:hint="eastAsia"/>
          <w:color w:val="auto"/>
          <w:highlight w:val="none"/>
        </w:rPr>
        <w:t xml:space="preserve">（五）满意度指标完成情况分析</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项目满意度指标包括满意度指标1个方面的内容，由1个三级指标构成，权重分为10分，实际得分10分，得分率为100%。</w:t>
      </w:r>
    </w:p>
    <w:p>
      <w:pPr>
        <w:pStyle w:val="闻政-正文段落文字"/>
        <w:spacing w:line="520" w:lineRule="exact"/>
        <w:ind w:firstLine="562"/>
        <w:rPr>
          <w:rFonts w:ascii="仿宋_GB2312" w:hAnsi="仿宋_GB2312" w:cs="仿宋_GB2312" w:hint="eastAsia"/>
          <w:b/>
          <w:bCs/>
          <w:color w:val="auto"/>
          <w:highlight w:val="none"/>
        </w:rPr>
      </w:pPr>
      <w:r>
        <w:rPr>
          <w:rFonts w:ascii="仿宋_GB2312" w:hAnsi="仿宋_GB2312" w:cs="仿宋_GB2312" w:hint="eastAsia"/>
          <w:b/>
          <w:bCs/>
          <w:color w:val="auto"/>
          <w:highlight w:val="none"/>
        </w:rPr>
        <w:t xml:space="preserve">1.满意度指标</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满意度指标完成情况分析从关注社会公众或服务对象对项目实施效果的满意程度方面进行评价，权重分值10分，实际得分10分。</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①家长和学生满意度完成情况分析</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6个问题，本项目总体满意度的计算公式=∑6个问题的满意度/6。</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评分规则设定为：满意度大于等于98%得10分；不足98%的大于等于80%得8分；不足80%的大于等于60%得5分；不足60%的不得分。该指标得分=满意度*该指标权重分值。</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综合来看，受访对象的满意度分析结果为</w:t>
      </w:r>
      <w:r>
        <w:rPr>
          <w:rFonts w:ascii="仿宋_GB2312" w:hAnsi="仿宋_GB2312" w:cs="仿宋_GB2312" w:hint="eastAsia"/>
          <w:color w:val="auto"/>
          <w:highlight w:val="none"/>
        </w:rPr>
        <w:t xml:space="preserve">100%</w:t>
      </w:r>
      <w:r>
        <w:rPr>
          <w:rFonts w:ascii="仿宋_GB2312" w:hAnsi="仿宋_GB2312" w:cs="仿宋_GB2312" w:hint="eastAsia"/>
          <w:color w:val="auto"/>
          <w:highlight w:val="none"/>
        </w:rPr>
        <w:t xml:space="preserve">。</w:t>
      </w:r>
      <w:r>
        <w:rPr>
          <w:rFonts w:ascii="仿宋_GB2312" w:hAnsi="仿宋_GB2312" w:cs="仿宋_GB2312" w:hint="eastAsia"/>
          <w:color w:val="auto"/>
          <w:highlight w:val="none"/>
        </w:rPr>
        <w:t xml:space="preserve">因此按满意度权重计分：100%*10分=10分，满意度指标</w:t>
      </w:r>
      <w:r>
        <w:rPr>
          <w:rFonts w:ascii="仿宋_GB2312" w:hAnsi="仿宋_GB2312" w:cs="仿宋_GB2312" w:hint="eastAsia"/>
          <w:color w:val="auto"/>
          <w:highlight w:val="none"/>
        </w:rPr>
        <w:t xml:space="preserve">实际得分10分</w:t>
      </w:r>
      <w:r>
        <w:rPr>
          <w:rFonts w:ascii="仿宋_GB2312" w:hAnsi="仿宋_GB2312" w:cs="仿宋_GB2312" w:hint="eastAsia"/>
          <w:color w:val="auto"/>
          <w:highlight w:val="none"/>
        </w:rPr>
        <w:t xml:space="preserve">。</w:t>
      </w:r>
    </w:p>
    <w:p>
      <w:pPr>
        <w:pStyle w:val="闻政-正文一级标题"/>
        <w:keepNext w:val="0"/>
        <w:keepLines w:val="0"/>
        <w:spacing w:line="520" w:lineRule="exact"/>
        <w:ind w:firstLine="640" w:firstLineChars="200"/>
        <w:jc w:val="both"/>
        <w:rPr>
          <w:rFonts w:hint="eastAsia"/>
          <w:color w:val="auto"/>
          <w:highlight w:val="none"/>
        </w:rPr>
      </w:pPr>
      <w:bookmarkStart w:id="156" w:name="_Toc10463_WPSOffice_Level1"/>
      <w:bookmarkStart w:id="157" w:name="_Toc10934"/>
      <w:bookmarkStart w:id="158" w:name="_Toc15802"/>
      <w:bookmarkStart w:id="159" w:name="_Toc18449"/>
      <w:bookmarkStart w:id="160" w:name="_Toc127054598"/>
      <w:bookmarkStart w:id="161" w:name="_Toc10930_WPSOffice_Level1"/>
      <w:bookmarkStart w:id="162" w:name="_Toc2006_WPSOffice_Level1"/>
      <w:bookmarkStart w:id="163" w:name="_Toc24579"/>
      <w:bookmarkStart w:id="164" w:name="_Toc17211"/>
      <w:bookmarkStart w:id="165" w:name="_Toc24849"/>
      <w:r>
        <w:rPr>
          <w:rFonts w:hint="eastAsia"/>
          <w:color w:val="auto"/>
          <w:highlight w:val="none"/>
        </w:rPr>
        <w:t xml:space="preserve">五、预算执行进度与绩效指标偏差</w:t>
      </w:r>
      <w:bookmarkEnd w:id="156"/>
      <w:bookmarkEnd w:id="157"/>
      <w:bookmarkEnd w:id="158"/>
      <w:bookmarkEnd w:id="159"/>
      <w:bookmarkEnd w:id="160"/>
    </w:p>
    <w:p>
      <w:pPr>
        <w:pStyle w:val="闻政-正文段落文字"/>
        <w:ind w:firstLine="560"/>
        <w:rPr>
          <w:rFonts w:ascii="仿宋_GB2312" w:hAnsi="仿宋_GB2312" w:cs="仿宋_GB2312" w:hint="eastAsia"/>
          <w:color w:val="auto"/>
          <w:highlight w:val="none"/>
        </w:rPr>
      </w:pPr>
      <w:bookmarkStart w:id="166" w:name="_Toc19104_WPSOffice_Level1"/>
      <w:bookmarkStart w:id="167" w:name="_Toc24452"/>
      <w:bookmarkStart w:id="168" w:name="_Toc127054599"/>
      <w:bookmarkStart w:id="169" w:name="_Toc28884"/>
      <w:bookmarkStart w:id="170" w:name="_Toc12278"/>
      <w:r>
        <w:rPr>
          <w:rFonts w:ascii="仿宋_GB2312" w:hAnsi="仿宋_GB2312" w:cs="仿宋_GB2312" w:hint="eastAsia"/>
          <w:color w:val="auto"/>
          <w:highlight w:val="none"/>
        </w:rPr>
        <w:t xml:space="preserve">“</w:t>
      </w:r>
      <w:r>
        <w:rPr>
          <w:rFonts w:ascii="仿宋_GB2312" w:hAnsi="仿宋_GB2312" w:cs="仿宋_GB2312" w:hint="eastAsia"/>
          <w:color w:val="auto"/>
          <w:highlight w:val="none"/>
        </w:rPr>
        <w:t xml:space="preserve">城乡义务教育补助经费项目（公用经费）</w:t>
      </w:r>
      <w:r>
        <w:rPr>
          <w:rFonts w:ascii="仿宋_GB2312" w:hAnsi="仿宋_GB2312" w:cs="仿宋_GB2312" w:hint="eastAsia"/>
          <w:color w:val="auto"/>
          <w:highlight w:val="none"/>
        </w:rPr>
        <w:t xml:space="preserve">”预算执行率与绩效指标完成率存在偏差，项目预算执行率为100%，项目绩效指标总体完成率100.2%，偏差率为0.2%。</w:t>
      </w:r>
    </w:p>
    <w:p>
      <w:pPr>
        <w:pStyle w:val="闻政-正文段落文字"/>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满意度指标实际完成值优于预期值，指标实际完成较预期出现正偏差。</w:t>
      </w:r>
    </w:p>
    <w:p>
      <w:pPr>
        <w:pStyle w:val="闻政-正文段落文字"/>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偏差原因：首先，项目初期，对受益对象需求的理解存在偏差，导致预期值设置偏低。其次，项目在实际执行过程中有效地满足了项目预期目标，造成实际完成情况超出受益对象的期望。</w:t>
      </w:r>
    </w:p>
    <w:p>
      <w:pPr>
        <w:pStyle w:val="闻政-正文段落文字"/>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改进措施：对偏差进行深入分析，充分了解受益对象的需求变化，明确造成实际完成值高于预期的具体原因，以便在未来的项目中更好地把握和预测</w:t>
      </w:r>
      <w:r>
        <w:rPr>
          <w:rFonts w:ascii="仿宋_GB2312" w:hAnsi="仿宋_GB2312" w:cs="仿宋_GB2312" w:hint="eastAsia"/>
          <w:color w:val="auto"/>
          <w:highlight w:val="none"/>
        </w:rPr>
        <w:t xml:space="preserve">。</w:t>
      </w:r>
    </w:p>
    <w:p>
      <w:pPr>
        <w:pStyle w:val="闻政-正文一级标题"/>
        <w:keepNext w:val="0"/>
        <w:keepLines w:val="0"/>
        <w:spacing w:line="520" w:lineRule="exact"/>
        <w:ind w:firstLine="640" w:firstLineChars="200"/>
        <w:jc w:val="both"/>
        <w:rPr>
          <w:rFonts w:hint="eastAsia"/>
          <w:color w:val="auto"/>
          <w:highlight w:val="none"/>
        </w:rPr>
      </w:pPr>
      <w:r>
        <w:rPr>
          <w:rFonts w:hint="eastAsia"/>
          <w:color w:val="auto"/>
          <w:highlight w:val="none"/>
        </w:rPr>
        <w:t xml:space="preserve">六、主要经验及做法、存在的问题及原因分析</w:t>
      </w:r>
      <w:bookmarkEnd w:id="161"/>
      <w:bookmarkEnd w:id="162"/>
      <w:bookmarkEnd w:id="163"/>
      <w:bookmarkEnd w:id="164"/>
      <w:bookmarkEnd w:id="165"/>
      <w:bookmarkEnd w:id="166"/>
      <w:bookmarkEnd w:id="167"/>
      <w:bookmarkEnd w:id="168"/>
      <w:bookmarkEnd w:id="169"/>
      <w:bookmarkEnd w:id="170"/>
      <w:r>
        <w:rPr>
          <w:rFonts w:hint="eastAsia"/>
          <w:color w:val="auto"/>
          <w:highlight w:val="none"/>
        </w:rPr>
        <w:t xml:space="preserve">、下一步改进措施</w:t>
      </w:r>
    </w:p>
    <w:p>
      <w:pPr>
        <w:pStyle w:val="闻政-正文二级标题"/>
        <w:keepNext w:val="0"/>
        <w:keepLines w:val="0"/>
        <w:spacing w:line="520" w:lineRule="exact"/>
        <w:ind w:left="560"/>
        <w:jc w:val="both"/>
        <w:rPr>
          <w:rFonts w:ascii="仿宋_GB2312" w:hAnsi="仿宋_GB2312" w:cs="仿宋_GB2312" w:hint="eastAsia"/>
          <w:color w:val="auto"/>
          <w:highlight w:val="none"/>
        </w:rPr>
      </w:pPr>
      <w:bookmarkStart w:id="171" w:name="_Toc16717"/>
      <w:bookmarkStart w:id="172" w:name="_Toc28921"/>
      <w:bookmarkStart w:id="173" w:name="_Toc14218"/>
      <w:bookmarkStart w:id="174" w:name="_Toc18033"/>
      <w:bookmarkStart w:id="175" w:name="_Toc19554"/>
      <w:bookmarkStart w:id="176" w:name="_Toc5442_WPSOffice_Level2"/>
      <w:bookmarkStart w:id="177" w:name="_Toc23806_WPSOffice_Level2"/>
      <w:bookmarkStart w:id="178" w:name="_Toc12587"/>
      <w:bookmarkStart w:id="179" w:name="_Toc127054600"/>
      <w:bookmarkStart w:id="180" w:name="_Toc6806_WPSOffice_Level2"/>
      <w:r>
        <w:rPr>
          <w:rFonts w:ascii="仿宋_GB2312" w:hAnsi="仿宋_GB2312" w:cs="仿宋_GB2312" w:hint="eastAsia"/>
          <w:color w:val="auto"/>
          <w:highlight w:val="none"/>
        </w:rPr>
        <w:t xml:space="preserve">（一）主要经验及做法</w:t>
      </w:r>
      <w:bookmarkEnd w:id="171"/>
      <w:bookmarkEnd w:id="172"/>
      <w:bookmarkEnd w:id="173"/>
      <w:bookmarkEnd w:id="174"/>
      <w:bookmarkEnd w:id="175"/>
      <w:bookmarkEnd w:id="176"/>
      <w:bookmarkEnd w:id="177"/>
      <w:bookmarkEnd w:id="178"/>
      <w:bookmarkEnd w:id="179"/>
      <w:bookmarkEnd w:id="180"/>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1.精细规划资金分配。依据学生身份类型，分类统计人数，精确核算各类补贴金额，确保公用经费分配科学合理。充分考虑学校的特殊需求，给予适当倾斜，保障小规模学校的正常运转。</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2.严格资金监管。构建财政、审计、教育等多部门联合监督体系，对资金的拨付、使用进行全过程监控，制定完善的资金管理制度，明确资金使用范围、审批流程和监管责任，确保资金使用合法合规。</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3.</w:t>
      </w:r>
      <w:r>
        <w:rPr>
          <w:rFonts w:ascii="仿宋_GB2312" w:hAnsi="仿宋_GB2312" w:cs="仿宋_GB2312"/>
          <w:color w:val="auto"/>
          <w:highlight w:val="none"/>
        </w:rPr>
        <w:t xml:space="preserve">推进区域资源共享</w:t>
      </w:r>
      <w:r>
        <w:rPr>
          <w:rFonts w:ascii="仿宋_GB2312" w:hAnsi="仿宋_GB2312" w:cs="仿宋_GB2312" w:hint="eastAsia"/>
          <w:color w:val="auto"/>
          <w:highlight w:val="none"/>
        </w:rPr>
        <w:t xml:space="preserve">。</w:t>
      </w:r>
      <w:r>
        <w:rPr>
          <w:rFonts w:ascii="仿宋_GB2312" w:hAnsi="仿宋_GB2312" w:cs="仿宋_GB2312"/>
          <w:color w:val="auto"/>
          <w:highlight w:val="none"/>
        </w:rPr>
        <w:t xml:space="preserve">统筹县域内学校闲置资源，建立“教学设备共享库”，通过跨校调剂使用多媒体设备、实验器材等，减少重复采购浪费。</w:t>
      </w:r>
    </w:p>
    <w:p>
      <w:pPr>
        <w:pStyle w:val="闻政-正文二级标题"/>
        <w:keepNext w:val="0"/>
        <w:keepLines w:val="0"/>
        <w:spacing w:line="520" w:lineRule="exact"/>
        <w:ind w:left="560"/>
        <w:jc w:val="both"/>
        <w:rPr>
          <w:rFonts w:ascii="仿宋_GB2312" w:hAnsi="仿宋_GB2312" w:cs="仿宋_GB2312" w:hint="eastAsia"/>
          <w:color w:val="auto"/>
          <w:sz w:val="18"/>
          <w:szCs w:val="18"/>
          <w:highlight w:val="none"/>
        </w:rPr>
      </w:pPr>
      <w:bookmarkStart w:id="181" w:name="_Toc29645_WPSOffice_Level2"/>
      <w:bookmarkStart w:id="182" w:name="_Toc22757"/>
      <w:bookmarkStart w:id="183" w:name="_Toc30239"/>
      <w:bookmarkStart w:id="184" w:name="_Toc27136_WPSOffice_Level2"/>
      <w:bookmarkStart w:id="185" w:name="_Toc2377_WPSOffice_Level2"/>
      <w:bookmarkStart w:id="186" w:name="_Toc14241"/>
      <w:bookmarkStart w:id="187" w:name="_Toc22477"/>
      <w:bookmarkStart w:id="188" w:name="_Toc16479"/>
      <w:bookmarkStart w:id="189" w:name="_Toc127054601"/>
      <w:bookmarkStart w:id="190" w:name="_Toc14455"/>
      <w:r>
        <w:rPr>
          <w:rFonts w:ascii="仿宋_GB2312" w:hAnsi="仿宋_GB2312" w:cs="仿宋_GB2312" w:hint="eastAsia"/>
          <w:color w:val="auto"/>
          <w:highlight w:val="none"/>
        </w:rPr>
        <w:t xml:space="preserve">（二）存在的问题及原因分析</w:t>
      </w:r>
      <w:bookmarkEnd w:id="181"/>
      <w:bookmarkEnd w:id="182"/>
      <w:bookmarkEnd w:id="183"/>
      <w:bookmarkEnd w:id="184"/>
      <w:bookmarkEnd w:id="185"/>
      <w:bookmarkEnd w:id="186"/>
      <w:bookmarkEnd w:id="187"/>
      <w:bookmarkEnd w:id="188"/>
      <w:bookmarkEnd w:id="189"/>
      <w:bookmarkEnd w:id="190"/>
    </w:p>
    <w:p>
      <w:pPr>
        <w:pStyle w:val="闻政-正文段落文字"/>
        <w:spacing w:line="520" w:lineRule="exact"/>
        <w:ind w:firstLine="560"/>
        <w:rPr>
          <w:rFonts w:ascii="仿宋_GB2312" w:hAnsi="仿宋_GB2312" w:cs="仿宋_GB2312" w:hint="eastAsia"/>
          <w:color w:val="auto"/>
          <w:highlight w:val="none"/>
        </w:rPr>
      </w:pPr>
      <w:bookmarkStart w:id="191" w:name="_Toc13442"/>
      <w:bookmarkStart w:id="192" w:name="_Toc20951"/>
      <w:bookmarkStart w:id="193" w:name="_Toc15650_WPSOffice_Level1"/>
      <w:bookmarkStart w:id="194" w:name="_Toc26233_WPSOffice_Level1"/>
      <w:bookmarkStart w:id="195" w:name="_Toc25046"/>
      <w:bookmarkStart w:id="196" w:name="_Toc127054602"/>
      <w:bookmarkStart w:id="197" w:name="_Toc8075"/>
      <w:bookmarkStart w:id="198" w:name="_Toc16264"/>
      <w:bookmarkStart w:id="199" w:name="_Toc12413_WPSOffice_Level1"/>
      <w:bookmarkStart w:id="200" w:name="_Toc31693"/>
      <w:r>
        <w:rPr>
          <w:rFonts w:ascii="仿宋_GB2312" w:hAnsi="仿宋_GB2312" w:cs="仿宋_GB2312" w:hint="eastAsia"/>
          <w:color w:val="auto"/>
          <w:highlight w:val="none"/>
        </w:rPr>
        <w:t xml:space="preserve">1.资金总量不足，难以满足实际需求。随着物价上涨和教育教学改革推进，学校水电费、维修费等支出逐年增加，现有公用经费标准难以覆盖全部运转成本。部分农村学校因经费紧张，无法及时更新老化的设备，影响学校办学水平。</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地方财政配套压力较大，上级转移支付资金增长幅度滞后，低于学校实际支出需求增速，部分学校未建立科学的成本核算机制，存在 “重使用、轻管理”现象，导致资金使用效率偏低。</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2.信息化水平和人员水平不足。目前仍以人工审核票据、现场检查为主，缺乏实时动态监管手段。部分乡村学校财务人员专业能力不足，存在账务处理不规范、报销流程不清晰等问题，导致资金监管存在漏洞。</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color w:val="auto"/>
          <w:highlight w:val="none"/>
        </w:rPr>
        <w:t xml:space="preserve">教育系统尚未建立统一的经费管理信息化平台，资金使用数据无法实时共享和预警</w:t>
      </w:r>
      <w:r>
        <w:rPr>
          <w:rFonts w:ascii="仿宋_GB2312" w:hAnsi="仿宋_GB2312" w:cs="仿宋_GB2312" w:hint="eastAsia"/>
          <w:color w:val="auto"/>
          <w:highlight w:val="none"/>
        </w:rPr>
        <w:t xml:space="preserve">，</w:t>
      </w:r>
      <w:r>
        <w:rPr>
          <w:rFonts w:ascii="仿宋_GB2312" w:hAnsi="仿宋_GB2312" w:cs="仿宋_GB2312"/>
          <w:color w:val="auto"/>
          <w:highlight w:val="none"/>
        </w:rPr>
        <w:t xml:space="preserve">对</w:t>
      </w:r>
      <w:r>
        <w:rPr>
          <w:rFonts w:ascii="仿宋_GB2312" w:hAnsi="仿宋_GB2312" w:cs="仿宋_GB2312" w:hint="eastAsia"/>
          <w:color w:val="auto"/>
          <w:highlight w:val="none"/>
        </w:rPr>
        <w:t xml:space="preserve">乡村</w:t>
      </w:r>
      <w:r>
        <w:rPr>
          <w:rFonts w:ascii="仿宋_GB2312" w:hAnsi="仿宋_GB2312" w:cs="仿宋_GB2312"/>
          <w:color w:val="auto"/>
          <w:highlight w:val="none"/>
        </w:rPr>
        <w:t xml:space="preserve">学校财务人员的培训机制不完善，专业化队伍建设滞后。</w:t>
      </w:r>
    </w:p>
    <w:p>
      <w:pPr>
        <w:pStyle w:val="闻政-正文二级标题"/>
        <w:keepNext w:val="0"/>
        <w:keepLines w:val="0"/>
        <w:spacing w:line="520" w:lineRule="exact"/>
        <w:ind w:left="560"/>
        <w:jc w:val="both"/>
        <w:rPr>
          <w:rFonts w:ascii="仿宋_GB2312" w:hAnsi="仿宋_GB2312" w:cs="仿宋_GB2312" w:hint="eastAsia"/>
          <w:color w:val="auto"/>
          <w:sz w:val="21"/>
          <w:szCs w:val="21"/>
          <w:highlight w:val="none"/>
        </w:rPr>
      </w:pPr>
      <w:r>
        <w:rPr>
          <w:rFonts w:ascii="仿宋_GB2312" w:hAnsi="仿宋_GB2312" w:cs="仿宋_GB2312" w:hint="eastAsia"/>
          <w:color w:val="auto"/>
          <w:highlight w:val="none"/>
        </w:rPr>
        <w:t xml:space="preserve">（三）下一步改进措施</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1.积极争取政策支持，</w:t>
      </w:r>
      <w:r>
        <w:rPr>
          <w:rFonts w:ascii="仿宋_GB2312" w:hAnsi="仿宋_GB2312" w:cs="仿宋_GB2312"/>
          <w:color w:val="auto"/>
          <w:highlight w:val="none"/>
        </w:rPr>
        <w:t xml:space="preserve">盘活存量资金</w:t>
      </w:r>
      <w:r>
        <w:rPr>
          <w:rFonts w:ascii="仿宋_GB2312" w:hAnsi="仿宋_GB2312" w:cs="仿宋_GB2312" w:hint="eastAsia"/>
          <w:color w:val="auto"/>
          <w:highlight w:val="none"/>
        </w:rPr>
        <w:t xml:space="preserve">。结合县域经济发展水平和教育实际需求，向财政部门申请提高县级配套生均公用经费标准，并建立与物价指数挂钩的动态调整机制。</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清理各学校历年结转结余资金，统筹用于县域内教育资源均衡配置项目，避免资金沉淀。</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2.</w:t>
      </w:r>
      <w:r>
        <w:rPr>
          <w:rFonts w:ascii="仿宋_GB2312" w:hAnsi="仿宋_GB2312" w:cs="仿宋_GB2312"/>
          <w:color w:val="auto"/>
          <w:highlight w:val="none"/>
        </w:rPr>
        <w:t xml:space="preserve">升级监管手段，提升信息化水平</w:t>
      </w:r>
      <w:r>
        <w:rPr>
          <w:rFonts w:ascii="仿宋_GB2312" w:hAnsi="仿宋_GB2312" w:cs="仿宋_GB2312" w:hint="eastAsia"/>
          <w:color w:val="auto"/>
          <w:highlight w:val="none"/>
        </w:rPr>
        <w:t xml:space="preserve">。引入大数据技术，开发教育系统覆盖经费预算、审批、支出、公示等全流程的信息化系统，实现资金使用数据自动抓取、异常预警和动态监控。方便教育局和其他监管部门对各学校的监督和管理。</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定期对</w:t>
      </w:r>
      <w:r>
        <w:rPr>
          <w:rFonts w:ascii="仿宋_GB2312" w:hAnsi="仿宋_GB2312" w:cs="仿宋_GB2312"/>
          <w:color w:val="auto"/>
          <w:highlight w:val="none"/>
        </w:rPr>
        <w:t xml:space="preserve">全县学校财务人员</w:t>
      </w:r>
      <w:r>
        <w:rPr>
          <w:rFonts w:ascii="仿宋_GB2312" w:hAnsi="仿宋_GB2312" w:cs="仿宋_GB2312" w:hint="eastAsia"/>
          <w:color w:val="auto"/>
          <w:highlight w:val="none"/>
        </w:rPr>
        <w:t xml:space="preserve">进行</w:t>
      </w:r>
      <w:r>
        <w:rPr>
          <w:rFonts w:ascii="仿宋_GB2312" w:hAnsi="仿宋_GB2312" w:cs="仿宋_GB2312"/>
          <w:color w:val="auto"/>
          <w:highlight w:val="none"/>
        </w:rPr>
        <w:t xml:space="preserve">专题培训，内容包括最新财务政策、信息化系统操作、预算编制等，通过考核上岗，提升财务管理规范化水平。</w:t>
      </w:r>
    </w:p>
    <w:p>
      <w:pPr>
        <w:pStyle w:val="闻政-正文一级标题"/>
        <w:keepNext w:val="0"/>
        <w:keepLines w:val="0"/>
        <w:spacing w:line="520" w:lineRule="exact"/>
        <w:ind w:firstLine="640" w:firstLineChars="200"/>
        <w:jc w:val="both"/>
        <w:rPr>
          <w:rFonts w:hint="eastAsia"/>
          <w:color w:val="auto"/>
          <w:sz w:val="21"/>
          <w:szCs w:val="21"/>
          <w:highlight w:val="none"/>
        </w:rPr>
      </w:pPr>
      <w:r>
        <w:rPr>
          <w:rFonts w:hint="eastAsia"/>
          <w:color w:val="auto"/>
          <w:highlight w:val="none"/>
        </w:rPr>
        <w:t xml:space="preserve">七、有关建议</w:t>
      </w:r>
      <w:bookmarkEnd w:id="191"/>
      <w:bookmarkEnd w:id="192"/>
      <w:bookmarkEnd w:id="193"/>
      <w:bookmarkEnd w:id="194"/>
      <w:bookmarkEnd w:id="195"/>
      <w:bookmarkEnd w:id="196"/>
      <w:bookmarkEnd w:id="197"/>
      <w:bookmarkEnd w:id="198"/>
      <w:bookmarkEnd w:id="199"/>
      <w:bookmarkEnd w:id="200"/>
    </w:p>
    <w:p>
      <w:pPr>
        <w:pStyle w:val="闻政-正文段落文字"/>
        <w:spacing w:line="520" w:lineRule="exact"/>
        <w:ind w:firstLine="560"/>
        <w:rPr>
          <w:rFonts w:ascii="仿宋_GB2312" w:hAnsi="仿宋_GB2312" w:cs="仿宋_GB2312" w:hint="eastAsia"/>
          <w:color w:val="auto"/>
          <w:highlight w:val="none"/>
        </w:rPr>
      </w:pPr>
      <w:bookmarkStart w:id="201" w:name="_Toc20924_WPSOffice_Level1"/>
      <w:bookmarkStart w:id="202" w:name="_Toc30131"/>
      <w:bookmarkStart w:id="203" w:name="_Toc127054603"/>
      <w:bookmarkStart w:id="204" w:name="_Toc17796"/>
      <w:bookmarkStart w:id="205" w:name="_Toc28208_WPSOffice_Level1"/>
      <w:bookmarkStart w:id="206" w:name="_Toc29208"/>
      <w:bookmarkStart w:id="207" w:name="_Toc7041"/>
      <w:bookmarkStart w:id="208" w:name="_Toc23889"/>
      <w:bookmarkStart w:id="209" w:name="_Toc6873"/>
      <w:bookmarkStart w:id="210" w:name="_Toc5941_WPSOffice_Level1"/>
      <w:r>
        <w:rPr>
          <w:rFonts w:ascii="仿宋_GB2312" w:hAnsi="仿宋_GB2312" w:cs="仿宋_GB2312" w:hint="eastAsia"/>
          <w:color w:val="auto"/>
          <w:highlight w:val="none"/>
        </w:rPr>
        <w:t xml:space="preserve">1.建立长效保障机制。建议政府加大对义务教育的投入，建立稳定的义务教育保障资金增长机制，确保义务教育保障工作持续推进。同时，鼓励社会力量参与义务教育保障工作，拓宽资金来源渠道。</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2.加大对农村教育的倾斜力度。建议上级部门相关政策进一步向偏远地区农村学校倾斜，设立农村义务教育专项补助资金，重点用于改善办学条件和吸引优秀教师，缩小城乡教育资源差距。</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3.加强信息化建设。搭建教育保障信息管理平台，整合学生信息、资金管理、项目实施等功能，实现信息实时共享和动态管理，提高工作效率和管理水平。</w:t>
      </w:r>
    </w:p>
    <w:p>
      <w:pPr>
        <w:pStyle w:val="闻政-正文段落文字"/>
        <w:spacing w:line="520" w:lineRule="exact"/>
        <w:ind w:firstLine="560"/>
        <w:rPr>
          <w:rFonts w:ascii="仿宋_GB2312" w:hAnsi="仿宋_GB2312" w:cs="仿宋_GB2312" w:hint="eastAsia"/>
          <w:color w:val="auto"/>
          <w:highlight w:val="none"/>
        </w:rPr>
      </w:pPr>
      <w:r>
        <w:rPr>
          <w:rFonts w:ascii="仿宋_GB2312" w:hAnsi="仿宋_GB2312" w:cs="仿宋_GB2312" w:hint="eastAsia"/>
          <w:color w:val="auto"/>
          <w:highlight w:val="none"/>
        </w:rPr>
        <w:t xml:space="preserve">4.强化人员培训。定期组织相关人员参加业务培训，提高工作人员的政策水平和业务能力，为教育保障工作提供人才支持。</w:t>
      </w:r>
    </w:p>
    <w:p>
      <w:pPr>
        <w:pStyle w:val="闻政-正文一级标题"/>
        <w:keepNext w:val="0"/>
        <w:keepLines w:val="0"/>
        <w:spacing w:line="520" w:lineRule="exact"/>
        <w:ind w:firstLine="640" w:firstLineChars="200"/>
        <w:jc w:val="both"/>
        <w:rPr>
          <w:rFonts w:hint="eastAsia"/>
          <w:color w:val="auto"/>
          <w:highlight w:val="none"/>
        </w:rPr>
      </w:pPr>
      <w:r>
        <w:rPr>
          <w:rFonts w:hint="eastAsia"/>
          <w:color w:val="auto"/>
          <w:highlight w:val="none"/>
        </w:rPr>
        <w:t xml:space="preserve">八、其他需要说明的问题</w:t>
      </w:r>
      <w:bookmarkEnd w:id="201"/>
      <w:bookmarkEnd w:id="202"/>
      <w:bookmarkEnd w:id="203"/>
      <w:bookmarkEnd w:id="204"/>
      <w:bookmarkEnd w:id="205"/>
      <w:bookmarkEnd w:id="206"/>
      <w:bookmarkEnd w:id="207"/>
      <w:bookmarkEnd w:id="208"/>
      <w:bookmarkEnd w:id="209"/>
      <w:bookmarkEnd w:id="210"/>
    </w:p>
    <w:p>
      <w:pPr>
        <w:pStyle w:val="闻政-正文段落文字"/>
        <w:spacing w:line="520" w:lineRule="exact"/>
        <w:ind w:firstLine="560"/>
        <w:rPr>
          <w:color w:val="auto"/>
          <w:highlight w:val="none"/>
        </w:rPr>
      </w:pPr>
      <w:r>
        <w:rPr>
          <w:rFonts w:hint="eastAsia"/>
          <w:color w:val="auto"/>
          <w:highlight w:val="none"/>
        </w:rPr>
        <w:t xml:space="preserve">我单位对上述项目支出绩效评价报告内反映内容的真实性、完整性负责，接受上级部门及社会公众监督。</w:t>
      </w:r>
    </w:p>
    <w:p>
      <w:pPr>
        <w:pStyle w:val="闻政-正文段落文字"/>
        <w:ind w:firstLine="560"/>
        <w:rPr>
          <w:color w:val="auto"/>
          <w:highlight w:val="none"/>
        </w:rPr>
      </w:pPr>
      <w:bookmarkStart w:id="211" w:name="_Toc25689_WPSOffice_Level1"/>
      <w:bookmarkStart w:id="212" w:name="_Toc30582_WPSOffice_Level1"/>
    </w:p>
    <w:p>
      <w:pPr>
        <w:pStyle w:val="闻政-正文段落文字"/>
        <w:ind w:firstLine="560"/>
        <w:rPr>
          <w:color w:val="auto"/>
          <w:highlight w:val="none"/>
        </w:rPr>
        <w:sectPr>
          <w:footerReference w:type="default" r:id="rId10"/>
          <w:pgSz w:w="11906" w:h="16838" w:orient="portrait"/>
          <w:pgMar w:top="1440" w:right="1800" w:bottom="1440" w:left="1800" w:header="851" w:footer="992" w:gutter="0"/>
          <w:pgBorders/>
          <w:pgNumType w:fmt="numberInDash" w:start="1"/>
          <w:cols w:num="1" w:space="720">
            <w:col w:w="8306" w:space="720"/>
          </w:cols>
          <w:docGrid w:type="lines" w:linePitch="312" w:charSpace="0"/>
        </w:sectPr>
      </w:pPr>
      <w:bookmarkStart w:id="213" w:name="_Toc13636_WPSOffice_Level1"/>
      <w:r>
        <w:rPr>
          <w:rFonts w:hint="eastAsia"/>
          <w:color w:val="auto"/>
          <w:highlight w:val="none"/>
        </w:rPr>
        <w:t xml:space="preserve">附件1：综合评分表</w:t>
      </w:r>
      <w:bookmarkEnd w:id="211"/>
      <w:bookmarkEnd w:id="212"/>
      <w:bookmarkEnd w:id="213"/>
    </w:p>
    <w:p>
      <w:pPr>
        <w:pStyle w:val="Title"/>
        <w:ind w:firstLine="0" w:firstLineChars="0"/>
        <w:jc w:val="both"/>
        <w:rPr>
          <w:color w:val="auto"/>
          <w:highlight w:val="none"/>
        </w:rPr>
      </w:pPr>
    </w:p>
    <w:sectPr>
      <w:pgSz w:w="16838" w:h="11906" w:orient="landscape"/>
      <w:pgMar w:top="1800" w:right="1440" w:bottom="1800" w:left="1440" w:header="851" w:footer="992" w:gutter="0"/>
      <w:pgBorders/>
      <w:pgNumType w:fmt="numberInDash"/>
      <w:cols w:num="1" w:space="720">
        <w:col w:w="13958"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ind w:firstLine="360"/>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ind w:firstLine="480"/>
      <w:jc w:val="center"/>
      <w:rPr>
        <w:rFonts w:ascii="宋体" w:eastAsia="宋体" w:hAnsi="宋体" w:asciiTheme="minorEastAsia" w:eastAsiaTheme="minorEastAsia" w:hAnsiTheme="minorEastAsia" w:cs="Arial" w:cstheme="minorEastAsia" w:hint="eastAsia"/>
        <w:sz w:val="24"/>
        <w:szCs w:val="24"/>
      </w:rPr>
    </w:pPr>
  </w:p>
  <w:p>
    <w:pPr>
      <w:pStyle w:val="Footer"/>
      <w:ind w:firstLine="360"/>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ind w:firstLine="360"/>
    </w:pPr>
  </w:p>
</w:ftr>
</file>

<file path=word/footer4.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ind w:firstLine="480"/>
      <w:jc w:val="center"/>
      <w:rPr>
        <w:rFonts w:ascii="宋体" w:eastAsia="宋体" w:hAnsi="宋体" w:asciiTheme="minorEastAsia" w:eastAsiaTheme="minorEastAsia" w:hAnsiTheme="minorEastAsia" w:cs="Arial" w:cstheme="minorEastAsia" w:hint="eastAsia"/>
        <w:sz w:val="24"/>
        <w:szCs w:val="24"/>
      </w:rPr>
    </w:pPr>
    <w:r>
      <w:rPr>
        <w:sz w:val="24"/>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ind w:firstLine="480"/>
                            <w:rPr>
                              <w:rFonts w:ascii="宋体" w:eastAsia="宋体" w:hAnsi="宋体" w:asciiTheme="minorEastAsia" w:eastAsiaTheme="minorEastAsia" w:hAnsiTheme="minorEastAsia" w:cs="Arial" w:cstheme="minorEastAsia" w:hint="eastAsia"/>
                              <w:sz w:val="24"/>
                              <w:szCs w:val="24"/>
                            </w:rPr>
                          </w:pPr>
                          <w:r>
                            <w:rPr>
                              <w:rFonts w:ascii="宋体" w:eastAsia="宋体" w:hAnsi="宋体" w:asciiTheme="minorEastAsia" w:eastAsiaTheme="minorEastAsia" w:hAnsiTheme="minorEastAsia" w:cs="Arial" w:cstheme="minorEastAsia" w:hint="eastAsia"/>
                              <w:sz w:val="24"/>
                              <w:szCs w:val="24"/>
                            </w:rPr>
                            <w:fldChar w:fldCharType="begin"/>
                          </w:r>
                          <w:r>
                            <w:rPr>
                              <w:rFonts w:ascii="宋体" w:eastAsia="宋体" w:hAnsi="宋体" w:asciiTheme="minorEastAsia" w:eastAsiaTheme="minorEastAsia" w:hAnsiTheme="minorEastAsia" w:cs="Arial" w:cstheme="minorEastAsia" w:hint="eastAsia"/>
                              <w:sz w:val="24"/>
                              <w:szCs w:val="24"/>
                            </w:rPr>
                            <w:instrText xml:space="preserve"> PAGE  \* MERGEFORMAT </w:instrText>
                          </w:r>
                          <w:r>
                            <w:rPr>
                              <w:rFonts w:ascii="宋体" w:eastAsia="宋体" w:hAnsi="宋体" w:asciiTheme="minorEastAsia" w:eastAsiaTheme="minorEastAsia" w:hAnsiTheme="minorEastAsia" w:cs="Arial" w:cstheme="minorEastAsia" w:hint="eastAsia"/>
                              <w:sz w:val="24"/>
                              <w:szCs w:val="24"/>
                            </w:rPr>
                            <w:fldChar w:fldCharType="separate"/>
                          </w:r>
                          <w:r>
                            <w:rPr>
                              <w:rFonts w:ascii="宋体" w:eastAsia="宋体" w:hAnsi="宋体" w:asciiTheme="minorEastAsia" w:eastAsiaTheme="minorEastAsia" w:hAnsiTheme="minorEastAsia" w:cs="Arial" w:cstheme="minorEastAsia" w:hint="eastAsia"/>
                              <w:sz w:val="24"/>
                              <w:szCs w:val="24"/>
                            </w:rPr>
                            <w:t xml:space="preserve">- 1 -</w:t>
                          </w:r>
                          <w:r>
                            <w:rPr>
                              <w:rFonts w:ascii="宋体" w:eastAsia="宋体" w:hAnsi="宋体" w:asciiTheme="minorEastAsia" w:eastAsiaTheme="minorEastAsia" w:hAnsiTheme="minorEastAsia" w:cs="Arial" w:cstheme="minorEastAsia" w:hint="eastAsia"/>
                              <w:sz w:val="24"/>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ind w:firstLine="480"/>
                      <w:rPr>
                        <w:rFonts w:ascii="宋体" w:eastAsia="宋体" w:hAnsi="宋体" w:asciiTheme="minorEastAsia" w:eastAsiaTheme="minorEastAsia" w:hAnsiTheme="minorEastAsia" w:cs="Arial" w:cstheme="minorEastAsia" w:hint="eastAsia"/>
                        <w:sz w:val="24"/>
                        <w:szCs w:val="24"/>
                      </w:rPr>
                    </w:pPr>
                    <w:r>
                      <w:rPr>
                        <w:rFonts w:ascii="宋体" w:eastAsia="宋体" w:hAnsi="宋体" w:asciiTheme="minorEastAsia" w:eastAsiaTheme="minorEastAsia" w:hAnsiTheme="minorEastAsia" w:cs="Arial" w:cstheme="minorEastAsia" w:hint="eastAsia"/>
                        <w:sz w:val="24"/>
                        <w:szCs w:val="24"/>
                      </w:rPr>
                      <w:fldChar w:fldCharType="begin"/>
                    </w:r>
                    <w:r>
                      <w:rPr>
                        <w:rFonts w:ascii="宋体" w:eastAsia="宋体" w:hAnsi="宋体" w:asciiTheme="minorEastAsia" w:eastAsiaTheme="minorEastAsia" w:hAnsiTheme="minorEastAsia" w:cs="Arial" w:cstheme="minorEastAsia" w:hint="eastAsia"/>
                        <w:sz w:val="24"/>
                        <w:szCs w:val="24"/>
                      </w:rPr>
                      <w:instrText xml:space="preserve"> PAGE  \* MERGEFORMAT </w:instrText>
                    </w:r>
                    <w:r>
                      <w:rPr>
                        <w:rFonts w:ascii="宋体" w:eastAsia="宋体" w:hAnsi="宋体" w:asciiTheme="minorEastAsia" w:eastAsiaTheme="minorEastAsia" w:hAnsiTheme="minorEastAsia" w:cs="Arial" w:cstheme="minorEastAsia" w:hint="eastAsia"/>
                        <w:sz w:val="24"/>
                        <w:szCs w:val="24"/>
                      </w:rPr>
                      <w:fldChar w:fldCharType="separate"/>
                    </w:r>
                    <w:r>
                      <w:rPr>
                        <w:rFonts w:ascii="宋体" w:eastAsia="宋体" w:hAnsi="宋体" w:asciiTheme="minorEastAsia" w:eastAsiaTheme="minorEastAsia" w:hAnsiTheme="minorEastAsia" w:cs="Arial" w:cstheme="minorEastAsia" w:hint="eastAsia"/>
                        <w:sz w:val="24"/>
                        <w:szCs w:val="24"/>
                      </w:rPr>
                      <w:t xml:space="preserve">- 1 -</w:t>
                    </w:r>
                    <w:r>
                      <w:rPr>
                        <w:rFonts w:ascii="宋体" w:eastAsia="宋体" w:hAnsi="宋体" w:asciiTheme="minorEastAsia" w:eastAsiaTheme="minorEastAsia" w:hAnsiTheme="minorEastAsia" w:cs="Arial" w:cstheme="minorEastAsia" w:hint="eastAsia"/>
                        <w:sz w:val="24"/>
                        <w:szCs w:val="24"/>
                      </w:rPr>
                      <w:fldChar w:fldCharType="end"/>
                    </w:r>
                  </w:p>
                </w:txbxContent>
              </v:textbox>
              <w10:wrap anchorx="margin"/>
            </v:shape>
          </w:pict>
        </mc:Fallback>
      </mc:AlternateContent>
    </w:r>
  </w:p>
  <w:p>
    <w:pPr>
      <w:pStyle w:val="Footer"/>
      <w:ind w:firstLine="360"/>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Header"/>
      <w:ind w:firstLine="360"/>
    </w:pP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Header"/>
      <w:pBdr>
        <w:bottom w:val="none" w:sz="0" w:space="1" w:color="auto"/>
      </w:pBdr>
      <w:ind w:firstLine="360"/>
    </w:pP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Heade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HorizontalSpacing w:val="140"/>
  <w:drawingGridVerticalSpacing w:val="381"/>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Normal Indent"/>
    <w:lsdException w:name="footnote text"/>
    <w:lsdException w:name="annotation text" w:semiHidden="0" w:qFormat="1"/>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semiHidden="0"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semiHidden="0" w:qFormat="1"/>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semiHidden="0" w:uiPriority="0" w:qFormat="1"/>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semiHidden="0" w:qFormat="1"/>
    <w:lsdException w:name="Plain Text" w:semiHidden="0" w:uiPriority="0" w:unhideWhenUsed="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unhideWhenUsed="0" w:qFormat="1"/>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spacing w:after="160" w:line="278" w:lineRule="auto"/>
      <w:ind w:firstLine="600" w:firstLineChars="200"/>
      <w:jc w:val="both"/>
    </w:pPr>
    <w:rPr>
      <w:rFonts w:ascii="Calibri" w:eastAsia="仿宋_GB2312" w:hAnsi="Calibri" w:cs="黑体"/>
      <w:kern w:val="2"/>
      <w:sz w:val="28"/>
      <w:szCs w:val="22"/>
      <w:lang w:val="en-US" w:eastAsia="zh-CN" w:bidi="ar-SA"/>
    </w:rPr>
  </w:style>
  <w:style w:type="paragraph" w:styleId="Heading1">
    <w:name w:val="Heading 1"/>
    <w:basedOn w:val="Normal"/>
    <w:next w:val="BodyTextFirstIndent2"/>
    <w:link w:val="标题1字符"/>
    <w:uiPriority w:val="9"/>
    <w:qFormat/>
    <w:pPr>
      <w:keepNext/>
      <w:keepLines/>
      <w:spacing w:before="340" w:after="330" w:line="578" w:lineRule="auto"/>
      <w:jc w:val="left"/>
      <w:outlineLvl w:val="0"/>
    </w:pPr>
    <w:rPr>
      <w:rFonts w:ascii="Times New Roman" w:hAnsi="Times New Roman" w:cs="Times New Roman"/>
      <w:b/>
      <w:bCs/>
      <w:kern w:val="44"/>
      <w:sz w:val="32"/>
      <w:szCs w:val="44"/>
    </w:rPr>
  </w:style>
  <w:style w:type="paragraph" w:styleId="Heading2">
    <w:name w:val="Heading 2"/>
    <w:basedOn w:val="Normal"/>
    <w:next w:val="NoSpacing"/>
    <w:link w:val="标题2字符"/>
    <w:qFormat/>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Heading3">
    <w:name w:val="Heading 3"/>
    <w:basedOn w:val="Normal"/>
    <w:next w:val="Normal"/>
    <w:link w:val="标题3字符"/>
    <w:uiPriority w:val="9"/>
    <w:qFormat/>
    <w:pPr>
      <w:keepNext/>
      <w:keepLines/>
      <w:spacing w:before="260" w:after="260" w:line="416" w:lineRule="auto"/>
      <w:jc w:val="left"/>
      <w:outlineLvl w:val="2"/>
    </w:pPr>
    <w:rPr>
      <w:bCs/>
      <w:szCs w:val="32"/>
    </w:rPr>
  </w:style>
  <w:style w:type="paragraph" w:styleId="Heading4">
    <w:name w:val="Heading 4"/>
    <w:basedOn w:val="Normal"/>
    <w:next w:val="Normal"/>
    <w:link w:val="标题4字符"/>
    <w:uiPriority w:val="9"/>
    <w:qFormat/>
    <w:pPr>
      <w:keepNext/>
      <w:keepLines/>
      <w:spacing w:before="280" w:after="290" w:line="376" w:lineRule="auto"/>
      <w:outlineLvl w:val="3"/>
    </w:pPr>
    <w:rPr>
      <w:rFonts w:ascii="Cambria" w:eastAsia="宋体" w:hAnsi="Cambria" w:cs="Times New Roman"/>
      <w:b/>
      <w:bCs/>
      <w:szCs w:val="28"/>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odyTextFirstIndent2">
    <w:name w:val="Body Text First Indent 2"/>
    <w:basedOn w:val="BodyTextIndent"/>
    <w:link w:val="正文文本首行缩进2字符"/>
    <w:unhideWhenUsed/>
    <w:qFormat/>
    <w:pPr>
      <w:ind w:firstLine="420"/>
    </w:pPr>
    <w:rPr/>
  </w:style>
  <w:style w:type="paragraph" w:styleId="BodyTextIndent">
    <w:name w:val="Body Text Indent"/>
    <w:basedOn w:val="Normal"/>
    <w:link w:val="正文文本缩进字符"/>
    <w:uiPriority w:val="99"/>
    <w:unhideWhenUsed/>
    <w:qFormat/>
    <w:pPr>
      <w:spacing w:after="120"/>
      <w:ind w:left="420" w:leftChars="200"/>
    </w:pPr>
    <w:rPr/>
  </w:style>
  <w:style w:type="paragraph" w:styleId="NoSpacing">
    <w:name w:val="No Spacing"/>
    <w:link w:val="无间隔字符"/>
    <w:uiPriority w:val="1"/>
    <w:qFormat/>
    <w:pPr>
      <w:widowControl w:val="0"/>
      <w:spacing w:after="160" w:line="278" w:lineRule="auto"/>
      <w:ind w:firstLine="600" w:firstLineChars="200"/>
      <w:jc w:val="both"/>
    </w:pPr>
    <w:rPr>
      <w:rFonts w:ascii="Calibri" w:eastAsia="仿宋_GB2312" w:hAnsi="Calibri" w:cs="黑体"/>
      <w:kern w:val="2"/>
      <w:sz w:val="28"/>
      <w:szCs w:val="22"/>
      <w:lang w:val="en-US" w:eastAsia="zh-CN" w:bidi="ar-SA"/>
    </w:rPr>
  </w:style>
  <w:style w:type="paragraph" w:styleId="TOC7">
    <w:name w:val="TOC 7"/>
    <w:basedOn w:val="Normal"/>
    <w:next w:val="Normal"/>
    <w:uiPriority w:val="39"/>
    <w:unhideWhenUsed/>
    <w:qFormat/>
    <w:pPr>
      <w:ind w:left="1680"/>
      <w:jc w:val="left"/>
    </w:pPr>
    <w:rPr>
      <w:rFonts w:cs="Calibri"/>
      <w:sz w:val="18"/>
      <w:szCs w:val="18"/>
    </w:rPr>
  </w:style>
  <w:style w:type="paragraph" w:styleId="DocumentMap">
    <w:name w:val="Document Map"/>
    <w:basedOn w:val="Normal"/>
    <w:link w:val="文档结构图字符"/>
    <w:uiPriority w:val="99"/>
    <w:unhideWhenUsed/>
    <w:qFormat/>
    <w:rPr>
      <w:rFonts w:ascii="宋体" w:eastAsia="宋体"/>
      <w:sz w:val="18"/>
      <w:szCs w:val="18"/>
    </w:rPr>
  </w:style>
  <w:style w:type="paragraph" w:styleId="CommentText">
    <w:name w:val="Comment Text"/>
    <w:basedOn w:val="Normal"/>
    <w:link w:val="批注文字字符"/>
    <w:uiPriority w:val="99"/>
    <w:unhideWhenUsed/>
    <w:qFormat/>
    <w:rPr>
      <w:sz w:val="20"/>
      <w:szCs w:val="20"/>
    </w:rPr>
  </w:style>
  <w:style w:type="paragraph" w:styleId="TOC5">
    <w:name w:val="TOC 5"/>
    <w:basedOn w:val="Normal"/>
    <w:next w:val="Normal"/>
    <w:uiPriority w:val="39"/>
    <w:unhideWhenUsed/>
    <w:qFormat/>
    <w:pPr>
      <w:ind w:left="1120"/>
      <w:jc w:val="left"/>
    </w:pPr>
    <w:rPr>
      <w:rFonts w:cs="Calibri"/>
      <w:sz w:val="18"/>
      <w:szCs w:val="18"/>
    </w:rPr>
  </w:style>
  <w:style w:type="paragraph" w:styleId="TOC3">
    <w:name w:val="TOC 3"/>
    <w:basedOn w:val="Normal"/>
    <w:next w:val="Normal"/>
    <w:uiPriority w:val="39"/>
    <w:unhideWhenUsed/>
    <w:qFormat/>
    <w:pPr>
      <w:ind w:left="560"/>
      <w:jc w:val="left"/>
    </w:pPr>
    <w:rPr>
      <w:rFonts w:cs="Calibri"/>
      <w:i/>
      <w:iCs/>
      <w:sz w:val="20"/>
      <w:szCs w:val="20"/>
    </w:rPr>
  </w:style>
  <w:style w:type="paragraph" w:styleId="PlainText">
    <w:name w:val="Plain Text"/>
    <w:basedOn w:val="Normal"/>
    <w:qFormat/>
    <w:rPr>
      <w:rFonts w:ascii="宋体" w:hAnsi="Courier New" w:hint="eastAsia"/>
      <w:szCs w:val="20"/>
    </w:rPr>
  </w:style>
  <w:style w:type="paragraph" w:styleId="TOC8">
    <w:name w:val="TOC 8"/>
    <w:basedOn w:val="Normal"/>
    <w:next w:val="Normal"/>
    <w:uiPriority w:val="39"/>
    <w:unhideWhenUsed/>
    <w:qFormat/>
    <w:pPr>
      <w:ind w:left="1960"/>
      <w:jc w:val="left"/>
    </w:pPr>
    <w:rPr>
      <w:rFonts w:cs="Calibri"/>
      <w:sz w:val="18"/>
      <w:szCs w:val="18"/>
    </w:rPr>
  </w:style>
  <w:style w:type="paragraph" w:styleId="BalloonText">
    <w:name w:val="Balloon Text"/>
    <w:basedOn w:val="Normal"/>
    <w:link w:val="批注框文本字符"/>
    <w:uiPriority w:val="99"/>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qFormat/>
    <w:pPr>
      <w:spacing w:before="120" w:after="120"/>
      <w:jc w:val="left"/>
    </w:pPr>
    <w:rPr>
      <w:rFonts w:cs="Calibri"/>
      <w:b/>
      <w:bCs/>
      <w:caps/>
      <w:sz w:val="20"/>
      <w:szCs w:val="20"/>
    </w:rPr>
  </w:style>
  <w:style w:type="paragraph" w:styleId="TOC4">
    <w:name w:val="TOC 4"/>
    <w:basedOn w:val="Normal"/>
    <w:next w:val="Normal"/>
    <w:uiPriority w:val="39"/>
    <w:unhideWhenUsed/>
    <w:qFormat/>
    <w:pPr>
      <w:ind w:left="840"/>
      <w:jc w:val="left"/>
    </w:pPr>
    <w:rPr>
      <w:rFonts w:cs="Calibri"/>
      <w:sz w:val="18"/>
      <w:szCs w:val="18"/>
    </w:rPr>
  </w:style>
  <w:style w:type="paragraph" w:styleId="TOC6">
    <w:name w:val="TOC 6"/>
    <w:basedOn w:val="Normal"/>
    <w:next w:val="Normal"/>
    <w:uiPriority w:val="39"/>
    <w:unhideWhenUsed/>
    <w:qFormat/>
    <w:pPr>
      <w:ind w:left="1400"/>
      <w:jc w:val="left"/>
    </w:pPr>
    <w:rPr>
      <w:rFonts w:cs="Calibri"/>
      <w:sz w:val="18"/>
      <w:szCs w:val="18"/>
    </w:rPr>
  </w:style>
  <w:style w:type="paragraph" w:styleId="TOC2">
    <w:name w:val="TOC 2"/>
    <w:basedOn w:val="Normal"/>
    <w:next w:val="Normal"/>
    <w:uiPriority w:val="39"/>
    <w:unhideWhenUsed/>
    <w:qFormat/>
    <w:pPr>
      <w:ind w:left="280"/>
      <w:jc w:val="left"/>
    </w:pPr>
    <w:rPr>
      <w:rFonts w:cs="Calibri"/>
      <w:smallCaps/>
      <w:sz w:val="20"/>
      <w:szCs w:val="20"/>
    </w:rPr>
  </w:style>
  <w:style w:type="paragraph" w:styleId="TOC9">
    <w:name w:val="TOC 9"/>
    <w:basedOn w:val="Normal"/>
    <w:next w:val="Normal"/>
    <w:uiPriority w:val="39"/>
    <w:unhideWhenUsed/>
    <w:qFormat/>
    <w:pPr>
      <w:ind w:left="2240"/>
      <w:jc w:val="left"/>
    </w:pPr>
    <w:rPr>
      <w:rFonts w:cs="Calibri"/>
      <w:sz w:val="18"/>
      <w:szCs w:val="18"/>
    </w:rPr>
  </w:style>
  <w:style w:type="paragraph" w:styleId="Title">
    <w:name w:val="Title"/>
    <w:basedOn w:val="Normal"/>
    <w:uiPriority w:val="10"/>
    <w:qFormat/>
    <w:pPr>
      <w:spacing w:before="240" w:after="60"/>
      <w:jc w:val="center"/>
      <w:outlineLvl w:val="0"/>
    </w:pPr>
    <w:rPr>
      <w:rFonts w:ascii="Arial" w:hAnsi="Arial"/>
      <w:b/>
      <w:sz w:val="32"/>
    </w:rPr>
  </w:style>
  <w:style w:type="paragraph" w:styleId="CommentSubject">
    <w:name w:val="Comment Subject"/>
    <w:basedOn w:val="CommentText"/>
    <w:next w:val="CommentText"/>
    <w:link w:val="批注主题字符"/>
    <w:uiPriority w:val="99"/>
    <w:unhideWhenUsed/>
    <w:qFormat/>
    <w:rPr>
      <w:b/>
      <w:bCs/>
    </w:rPr>
  </w:style>
  <w:style w:type="table" w:styleId="TableGrid">
    <w:name w:val="Table Grid"/>
    <w:basedOn w:val="NormalTable"/>
    <w:uiPriority w:val="5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000FF"/>
      <w:u w:val="single"/>
    </w:rPr>
  </w:style>
  <w:style w:type="character" w:styleId="CommentReference">
    <w:name w:val="Comment Reference"/>
    <w:uiPriority w:val="99"/>
    <w:unhideWhenUsed/>
    <w:qFormat/>
    <w:rPr>
      <w:sz w:val="16"/>
      <w:szCs w:val="16"/>
    </w:rPr>
  </w:style>
  <w:style w:type="paragraph" w:customStyle="1" w:styleId="闻政-正文一级标题">
    <w:name w:val="闻政-正文一级标题"/>
    <w:basedOn w:val="Heading3"/>
    <w:next w:val="闻政-正文段落文字"/>
    <w:link w:val="闻政-正文一级标题Char"/>
    <w:uiPriority w:val="3"/>
    <w:qFormat/>
    <w:pPr>
      <w:spacing w:before="120" w:after="60" w:line="500" w:lineRule="exact"/>
      <w:ind w:firstLine="0" w:firstLineChars="0"/>
      <w:outlineLvl w:val="0"/>
    </w:pPr>
    <w:rPr>
      <w:rFonts w:ascii="黑体" w:eastAsia="黑体" w:hAnsi="黑体" w:cs="Times New Roman"/>
      <w:kern w:val="0"/>
      <w:sz w:val="32"/>
    </w:rPr>
  </w:style>
  <w:style w:type="paragraph" w:customStyle="1" w:styleId="闻政-正文段落文字">
    <w:name w:val="闻政-正文段落文字"/>
    <w:basedOn w:val="Normal"/>
    <w:link w:val="闻政-正文段落文字Char"/>
    <w:uiPriority w:val="3"/>
    <w:qFormat/>
    <w:pPr>
      <w:spacing w:line="500" w:lineRule="exact"/>
      <w:ind w:firstLine="200"/>
    </w:pPr>
    <w:rPr>
      <w:rFonts w:ascii="Times New Roman" w:hAnsi="Times New Roman" w:cs="Times New Roman"/>
      <w:kern w:val="0"/>
      <w:szCs w:val="28"/>
    </w:rPr>
  </w:style>
  <w:style w:type="character" w:customStyle="1" w:styleId="闻政-正文一级标题Char">
    <w:name w:val="闻政-正文一级标题 Char"/>
    <w:link w:val="闻政-正文一级标题"/>
    <w:uiPriority w:val="3"/>
    <w:qFormat/>
    <w:rPr>
      <w:rFonts w:ascii="黑体" w:eastAsia="黑体" w:hAnsi="黑体" w:cs="Times New Roman"/>
      <w:bCs/>
      <w:sz w:val="32"/>
      <w:szCs w:val="32"/>
    </w:rPr>
  </w:style>
  <w:style w:type="paragraph" w:customStyle="1" w:styleId="_Style1">
    <w:name w:val="_Style 1"/>
    <w:qFormat/>
    <w:pPr>
      <w:widowControl w:val="0"/>
      <w:spacing w:after="160" w:line="278" w:lineRule="auto"/>
      <w:jc w:val="both"/>
    </w:pPr>
    <w:rPr>
      <w:rFonts w:ascii="Calibri" w:eastAsia="宋体" w:hAnsi="Calibri" w:cs="Times New Roman"/>
      <w:kern w:val="2"/>
      <w:sz w:val="21"/>
      <w:szCs w:val="22"/>
      <w:lang w:val="en-US" w:eastAsia="zh-CN" w:bidi="ar-SA"/>
    </w:rPr>
  </w:style>
  <w:style w:type="character" w:customStyle="1" w:styleId="无间隔字符">
    <w:name w:val="无间隔 字符"/>
    <w:link w:val="NoSpacing"/>
    <w:uiPriority w:val="1"/>
    <w:qFormat/>
    <w:rPr>
      <w:rFonts w:eastAsia="仿宋_GB2312" w:cs="黑体"/>
      <w:kern w:val="2"/>
      <w:sz w:val="28"/>
      <w:szCs w:val="22"/>
      <w:lang w:val="en-US" w:eastAsia="zh-CN" w:bidi="ar-SA"/>
    </w:rPr>
  </w:style>
  <w:style w:type="character" w:customStyle="1" w:styleId="明显参考1">
    <w:name w:val="明显参考1"/>
    <w:qFormat/>
    <w:rPr>
      <w:b/>
      <w:bCs/>
      <w:smallCaps/>
      <w:color w:val="C0504D"/>
      <w:spacing w:val="5"/>
      <w:u w:val="single"/>
    </w:rPr>
  </w:style>
  <w:style w:type="character" w:customStyle="1" w:styleId="批注主题字符">
    <w:name w:val="批注主题 字符"/>
    <w:link w:val="CommentSubject"/>
    <w:uiPriority w:val="99"/>
    <w:semiHidden/>
    <w:qFormat/>
    <w:rPr>
      <w:rFonts w:ascii="Calibri" w:eastAsia="仿宋_GB2312" w:hAnsi="Calibri" w:cs="黑体"/>
      <w:b/>
      <w:bCs/>
      <w:sz w:val="20"/>
      <w:szCs w:val="20"/>
    </w:rPr>
  </w:style>
  <w:style w:type="character" w:customStyle="1" w:styleId="正文文本首行缩进2字符">
    <w:name w:val="正文文本首行缩进 2 字符"/>
    <w:link w:val="BodyTextFirstIndent2"/>
    <w:qFormat/>
    <w:rPr>
      <w:rFonts w:ascii="Calibri" w:eastAsia="仿宋_GB2312" w:hAnsi="Calibri" w:cs="黑体"/>
      <w:sz w:val="28"/>
    </w:rPr>
  </w:style>
  <w:style w:type="character" w:customStyle="1" w:styleId="标题2字符">
    <w:name w:val="标题 2 字符"/>
    <w:link w:val="Heading2"/>
    <w:qFormat/>
    <w:rPr>
      <w:rFonts w:ascii="Cambria" w:eastAsia="仿宋_GB2312" w:hAnsi="Cambria" w:cs="Times New Roman"/>
      <w:b/>
      <w:bCs/>
      <w:kern w:val="0"/>
      <w:sz w:val="30"/>
      <w:szCs w:val="32"/>
    </w:rPr>
  </w:style>
  <w:style w:type="character" w:customStyle="1" w:styleId="批注框文本字符">
    <w:name w:val="批注框文本 字符"/>
    <w:link w:val="BalloonText"/>
    <w:uiPriority w:val="99"/>
    <w:semiHidden/>
    <w:qFormat/>
    <w:rPr>
      <w:rFonts w:ascii="Calibri" w:eastAsia="仿宋_GB2312" w:hAnsi="Calibri" w:cs="黑体"/>
      <w:sz w:val="18"/>
      <w:szCs w:val="18"/>
    </w:rPr>
  </w:style>
  <w:style w:type="character" w:customStyle="1" w:styleId="标题1字符">
    <w:name w:val="标题 1 字符"/>
    <w:link w:val="Heading1"/>
    <w:uiPriority w:val="9"/>
    <w:qFormat/>
    <w:rPr>
      <w:rFonts w:ascii="Times New Roman" w:eastAsia="仿宋_GB2312" w:hAnsi="Times New Roman" w:cs="Times New Roman"/>
      <w:b/>
      <w:bCs/>
      <w:kern w:val="44"/>
      <w:sz w:val="32"/>
      <w:szCs w:val="44"/>
    </w:rPr>
  </w:style>
  <w:style w:type="character" w:customStyle="1" w:styleId="页脚字符">
    <w:name w:val="页脚 字符"/>
    <w:link w:val="Footer"/>
    <w:uiPriority w:val="99"/>
    <w:qFormat/>
    <w:rPr>
      <w:rFonts w:ascii="Calibri" w:eastAsia="仿宋_GB2312" w:hAnsi="Calibri" w:cs="黑体"/>
      <w:sz w:val="18"/>
      <w:szCs w:val="18"/>
    </w:rPr>
  </w:style>
  <w:style w:type="character" w:customStyle="1" w:styleId="批注文字字符">
    <w:name w:val="批注文字 字符"/>
    <w:link w:val="CommentText"/>
    <w:uiPriority w:val="99"/>
    <w:semiHidden/>
    <w:qFormat/>
    <w:rPr>
      <w:rFonts w:ascii="Calibri" w:eastAsia="仿宋_GB2312" w:hAnsi="Calibri" w:cs="黑体"/>
      <w:sz w:val="20"/>
      <w:szCs w:val="20"/>
    </w:rPr>
  </w:style>
  <w:style w:type="character" w:customStyle="1" w:styleId="正文文本缩进字符">
    <w:name w:val="正文文本缩进 字符"/>
    <w:link w:val="BodyTextIndent"/>
    <w:uiPriority w:val="99"/>
    <w:semiHidden/>
    <w:qFormat/>
    <w:rPr>
      <w:rFonts w:ascii="Calibri" w:eastAsia="仿宋_GB2312" w:hAnsi="Calibri" w:cs="黑体"/>
      <w:sz w:val="28"/>
    </w:rPr>
  </w:style>
  <w:style w:type="character" w:customStyle="1" w:styleId="闻政-正文三级标题Char">
    <w:name w:val="闻政-正文三级标题 Char"/>
    <w:link w:val="闻政-正文三级标题"/>
    <w:uiPriority w:val="3"/>
    <w:qFormat/>
    <w:rPr>
      <w:rFonts w:ascii="Times New Roman" w:eastAsia="仿宋_GB2312" w:hAnsi="Times New Roman" w:cs="Times New Roman"/>
      <w:b/>
      <w:snapToGrid/>
      <w:sz w:val="28"/>
      <w:szCs w:val="28"/>
    </w:rPr>
  </w:style>
  <w:style w:type="paragraph" w:customStyle="1" w:styleId="闻政-正文三级标题">
    <w:name w:val="闻政-正文三级标题"/>
    <w:basedOn w:val="Normal"/>
    <w:next w:val="闻政-正文段落文字"/>
    <w:link w:val="闻政-正文三级标题Char"/>
    <w:uiPriority w:val="3"/>
    <w:qFormat/>
    <w:pPr>
      <w:widowControl/>
      <w:spacing w:before="120" w:after="60" w:line="500" w:lineRule="exact"/>
      <w:ind w:left="200" w:firstLine="0" w:leftChars="200" w:firstLineChars="0"/>
    </w:pPr>
    <w:rPr>
      <w:rFonts w:ascii="Times New Roman" w:hAnsi="Times New Roman" w:cs="Times New Roman"/>
      <w:b/>
      <w:snapToGrid w:val="0"/>
      <w:kern w:val="0"/>
      <w:szCs w:val="28"/>
    </w:rPr>
  </w:style>
  <w:style w:type="character" w:customStyle="1" w:styleId="闻政-正文四级标题Char">
    <w:name w:val="闻政-正文四级标题 Char"/>
    <w:link w:val="闻政-正文四级标题"/>
    <w:uiPriority w:val="3"/>
    <w:qFormat/>
    <w:rPr>
      <w:rFonts w:ascii="Times New Roman" w:eastAsia="仿宋_GB2312" w:hAnsi="Times New Roman" w:cs="Times New Roman"/>
      <w:snapToGrid/>
      <w:sz w:val="28"/>
      <w:szCs w:val="28"/>
    </w:rPr>
  </w:style>
  <w:style w:type="paragraph" w:customStyle="1" w:styleId="闻政-正文四级标题">
    <w:name w:val="闻政-正文四级标题"/>
    <w:basedOn w:val="闻政-正文三级标题"/>
    <w:next w:val="闻政-正文段落文字"/>
    <w:link w:val="闻政-正文四级标题Char"/>
    <w:uiPriority w:val="3"/>
    <w:qFormat/>
    <w:rPr>
      <w:b w:val="0"/>
    </w:rPr>
  </w:style>
  <w:style w:type="character" w:customStyle="1" w:styleId="标题3字符">
    <w:name w:val="标题 3 字符"/>
    <w:link w:val="Heading3"/>
    <w:uiPriority w:val="9"/>
    <w:qFormat/>
    <w:rPr>
      <w:rFonts w:ascii="Calibri" w:eastAsia="仿宋_GB2312" w:hAnsi="Calibri" w:cs="黑体"/>
      <w:bCs/>
      <w:sz w:val="28"/>
      <w:szCs w:val="32"/>
    </w:rPr>
  </w:style>
  <w:style w:type="character" w:customStyle="1" w:styleId="标题4字符">
    <w:name w:val="标题 4 字符"/>
    <w:link w:val="Heading4"/>
    <w:uiPriority w:val="9"/>
    <w:semiHidden/>
    <w:qFormat/>
    <w:rPr>
      <w:rFonts w:ascii="Cambria" w:eastAsia="宋体" w:hAnsi="Cambria" w:cs="Times New Roman"/>
      <w:b/>
      <w:bCs/>
      <w:sz w:val="28"/>
      <w:szCs w:val="28"/>
    </w:rPr>
  </w:style>
  <w:style w:type="character" w:customStyle="1" w:styleId="闻政-正文二级标题Char">
    <w:name w:val="闻政-正文二级标题 Char"/>
    <w:link w:val="闻政-正文二级标题"/>
    <w:uiPriority w:val="3"/>
    <w:qFormat/>
    <w:rPr>
      <w:rFonts w:ascii="Times New Roman" w:eastAsia="仿宋_GB2312" w:hAnsi="Times New Roman" w:cs="Times New Roman"/>
      <w:b/>
      <w:bCs/>
      <w:sz w:val="28"/>
      <w:szCs w:val="32"/>
    </w:rPr>
  </w:style>
  <w:style w:type="paragraph" w:customStyle="1" w:styleId="闻政-正文二级标题">
    <w:name w:val="闻政-正文二级标题"/>
    <w:basedOn w:val="Heading2"/>
    <w:next w:val="闻政-正文段落文字"/>
    <w:link w:val="闻政-正文二级标题Char"/>
    <w:uiPriority w:val="3"/>
    <w:qFormat/>
    <w:pPr>
      <w:spacing w:before="120" w:after="60" w:line="500" w:lineRule="exact"/>
      <w:ind w:left="200" w:firstLine="0" w:leftChars="200" w:firstLineChars="0"/>
    </w:pPr>
    <w:rPr>
      <w:rFonts w:ascii="Times New Roman" w:hAnsi="Times New Roman"/>
      <w:sz w:val="28"/>
    </w:rPr>
  </w:style>
  <w:style w:type="character" w:customStyle="1" w:styleId="闻政-正文段落文字Char">
    <w:name w:val="闻政-正文段落文字 Char"/>
    <w:link w:val="闻政-正文段落文字"/>
    <w:uiPriority w:val="3"/>
    <w:qFormat/>
    <w:rPr>
      <w:rFonts w:ascii="Times New Roman" w:eastAsia="仿宋_GB2312" w:hAnsi="Times New Roman" w:cs="Times New Roman"/>
      <w:sz w:val="28"/>
      <w:szCs w:val="28"/>
    </w:rPr>
  </w:style>
  <w:style w:type="character" w:customStyle="1" w:styleId="页眉字符">
    <w:name w:val="页眉 字符"/>
    <w:link w:val="Header"/>
    <w:uiPriority w:val="99"/>
    <w:qFormat/>
    <w:rPr>
      <w:rFonts w:ascii="Calibri" w:eastAsia="仿宋_GB2312" w:hAnsi="Calibri" w:cs="黑体"/>
      <w:sz w:val="18"/>
      <w:szCs w:val="18"/>
    </w:rPr>
  </w:style>
  <w:style w:type="character" w:customStyle="1" w:styleId="文档结构图字符">
    <w:name w:val="文档结构图 字符"/>
    <w:link w:val="DocumentMap"/>
    <w:uiPriority w:val="99"/>
    <w:semiHidden/>
    <w:qFormat/>
    <w:rPr>
      <w:rFonts w:ascii="宋体" w:eastAsia="宋体" w:hAnsi="Calibri" w:cs="黑体"/>
      <w:sz w:val="18"/>
      <w:szCs w:val="18"/>
    </w:rPr>
  </w:style>
  <w:style w:type="paragraph" w:styleId="ListParagraph">
    <w:name w:val="List Paragraph"/>
    <w:basedOn w:val="Normal"/>
    <w:uiPriority w:val="34"/>
    <w:qFormat/>
    <w:pPr>
      <w:ind w:firstLine="420"/>
    </w:pPr>
    <w:rPr/>
  </w:style>
  <w:style w:type="paragraph" w:customStyle="1" w:styleId="闻政表">
    <w:name w:val="闻政表"/>
    <w:basedOn w:val="Normal"/>
    <w:uiPriority w:val="99"/>
    <w:qFormat/>
    <w:pPr>
      <w:spacing w:before="60" w:after="60"/>
      <w:jc w:val="center"/>
    </w:pPr>
    <w:rPr>
      <w:rFonts w:ascii="Times New Roman" w:hAnsi="Times New Roman"/>
      <w:b/>
      <w:sz w:val="24"/>
      <w:szCs w:val="28"/>
    </w:rPr>
  </w:style>
  <w:style w:type="paragraph" w:customStyle="1" w:styleId="WPSOffice手动目录1">
    <w:name w:val="WPSOffice手动目录 1"/>
    <w:qFormat/>
    <w:pPr>
      <w:spacing w:after="160" w:line="278" w:lineRule="auto"/>
    </w:pPr>
    <w:rPr>
      <w:rFonts w:ascii="Times New Roman" w:eastAsia="宋体" w:hAnsi="Times New Roman" w:cs="Times New Roman"/>
      <w:lang w:val="en-US" w:eastAsia="zh-CN" w:bidi="ar-SA"/>
    </w:rPr>
  </w:style>
  <w:style w:type="paragraph" w:customStyle="1" w:styleId="WPSOffice手动目录2">
    <w:name w:val="WPSOffice手动目录 2"/>
    <w:qFormat/>
    <w:pPr>
      <w:spacing w:after="160" w:line="278" w:lineRule="auto"/>
      <w:ind w:left="200" w:leftChars="200"/>
    </w:pPr>
    <w:rPr>
      <w:rFonts w:ascii="Times New Roman" w:eastAsia="宋体" w:hAnsi="Times New Roman" w:cs="Times New Roman"/>
      <w:lang w:val="en-US" w:eastAsia="zh-CN" w:bidi="ar-SA"/>
    </w:rPr>
  </w:style>
  <w:style w:type="paragraph" w:customStyle="1" w:styleId="WPSOffice手动目录3">
    <w:name w:val="WPSOffice手动目录 3"/>
    <w:qFormat/>
    <w:pPr>
      <w:spacing w:after="160" w:line="278" w:lineRule="auto"/>
      <w:ind w:left="400" w:leftChars="400"/>
    </w:pPr>
    <w:rPr>
      <w:rFonts w:ascii="Times New Roman" w:eastAsia="宋体" w:hAnsi="Times New Roman" w:cs="Times New Roman"/>
      <w:lang w:val="en-US" w:eastAsia="zh-CN" w:bidi="ar-SA"/>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10" Type="http://schemas.openxmlformats.org/officeDocument/2006/relationships/footer" Target="footer4.xml"/><Relationship Id="rId11" Type="http://schemas.openxmlformats.org/officeDocument/2006/relationships/theme" Target="theme/theme1.xml"/><Relationship Id="rId12" Type="http://schemas.openxmlformats.org/officeDocument/2006/relationships/styles" Target="styles.xml"/><Relationship Id="rId13" Type="http://schemas.openxmlformats.org/officeDocument/2006/relationships/webSettings" Target="webSettings.xml"/><Relationship Id="rId14" Type="http://schemas.openxmlformats.org/officeDocument/2006/relationships/fontTable" Target="fontTable.xml"/><Relationship Id="rId15" Type="http://schemas.openxmlformats.org/officeDocument/2006/relationships/settings" Target="settings.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eyJoZGlkIjoiNGNhNTJjYzlkY2VjZWQyZjhkMGQ4ODVhNzQ5ZTY0ZjQiLCJ1c2VySWQiOiIxNjg4Mzg1NTkxIn0=</vt:lpwstr>
  </property>
  <property fmtid="{D5CDD505-2E9C-101B-9397-08002B2CF9AE}" pid="4" name="ICV">
    <vt:lpwstr>E3A217A3DF254FFC9DE4B5F9D25F36AC_12</vt:lpwstr>
  </property>
</Properties>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56BA5C9-CD2E-4421-891E-71FCDB8FE82F}">
  <ds:schemaRefs/>
</ds:datastoreItem>
</file>

<file path=docProps/app.xml><?xml version="1.0" encoding="utf-8"?>
<Properties xmlns:vt="http://schemas.openxmlformats.org/officeDocument/2006/docPropsVTypes" xmlns="http://schemas.openxmlformats.org/officeDocument/2006/extended-properties">
  <Template>Normal.dotm</Template>
  <TotalTime>271</TotalTime>
  <Pages>30</Pages>
  <Words>17872</Words>
  <Characters>18683</Characters>
  <Application>WPS Office_12.1.0.20305_F1E327BC-269C-435d-A152-05C5408002CA</Application>
  <DocSecurity>0</DocSecurity>
  <Lines>674</Lines>
  <Paragraphs>492</Paragraphs>
  <Company>Microsoft</Company>
  <CharactersWithSpaces>19194</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项目支出绩效评价报告</dc:title>
  <dc:creator>User</dc:creator>
  <cp:lastModifiedBy>WPS_1742291039</cp:lastModifiedBy>
  <cp:revision>13</cp:revision>
  <cp:lastPrinted>2022-01-30T02:30:00Z</cp:lastPrinted>
  <dcterms:created xsi:type="dcterms:W3CDTF">2022-01-30T02:31:00Z</dcterms:created>
  <dcterms:modified xsi:type="dcterms:W3CDTF">2025-08-05T04:46:49Z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2052-12.1.0.20305</vt:lpwstr>
  </property>
  <property fmtid="{D5CDD505-2E9C-101B-9397-08002B2CF9AE}" pid="3" name="KSOTemplateDocerSaveRecord">
    <vt:lpwstr>eyJoZGlkIjoiNGNhNTJjYzlkY2VjZWQyZjhkMGQ4ODVhNzQ5ZTY0ZjQiLCJ1c2VySWQiOiIxNjg4Mzg1NTkxIn0_x003D_</vt:lpwstr>
  </property>
  <property fmtid="{D5CDD505-2E9C-101B-9397-08002B2CF9AE}" pid="4" name="ICV">
    <vt:lpwstr>E3A217A3DF254FFC9DE4B5F9D25F36AC_12</vt:lpwstr>
  </property>
</Properties>
</file>